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D0895" w14:textId="77777777" w:rsidR="006F0041" w:rsidRPr="00D6392C" w:rsidRDefault="006F0041" w:rsidP="006F0041">
      <w:pPr>
        <w:pStyle w:val="Heading1"/>
        <w:numPr>
          <w:ilvl w:val="0"/>
          <w:numId w:val="1"/>
        </w:numPr>
        <w:rPr>
          <w:lang w:val="en-GB"/>
        </w:rPr>
      </w:pPr>
      <w:r w:rsidRPr="00D6392C">
        <w:rPr>
          <w:lang w:val="en-GB"/>
        </w:rPr>
        <w:t>Step overview</w:t>
      </w:r>
    </w:p>
    <w:p w14:paraId="7F7F0FAC" w14:textId="77777777" w:rsidR="006F0041" w:rsidRPr="00D6392C" w:rsidRDefault="006F0041" w:rsidP="006F0041">
      <w:pPr>
        <w:rPr>
          <w:lang w:val="en-GB"/>
        </w:rPr>
      </w:pPr>
    </w:p>
    <w:tbl>
      <w:tblPr>
        <w:tblStyle w:val="GridTable1Light"/>
        <w:tblW w:w="8926" w:type="dxa"/>
        <w:tblLook w:val="0400" w:firstRow="0" w:lastRow="0" w:firstColumn="0" w:lastColumn="0" w:noHBand="0" w:noVBand="1"/>
      </w:tblPr>
      <w:tblGrid>
        <w:gridCol w:w="2122"/>
        <w:gridCol w:w="6804"/>
      </w:tblGrid>
      <w:tr w:rsidR="006F0041" w:rsidRPr="00D6392C" w14:paraId="4335D827" w14:textId="77777777" w:rsidTr="00314DB3">
        <w:trPr>
          <w:trHeight w:val="399"/>
        </w:trPr>
        <w:tc>
          <w:tcPr>
            <w:tcW w:w="2122" w:type="dxa"/>
            <w:shd w:val="clear" w:color="auto" w:fill="44546A" w:themeFill="text2"/>
          </w:tcPr>
          <w:p w14:paraId="488927A1" w14:textId="77777777" w:rsidR="006F0041" w:rsidRPr="0031756D" w:rsidRDefault="006F0041" w:rsidP="00314DB3">
            <w:pPr>
              <w:spacing w:before="120" w:after="120"/>
              <w:rPr>
                <w:rFonts w:ascii="Aptos" w:eastAsia="Times New Roman" w:hAnsi="Aptos" w:cs="Times New Roman"/>
                <w:b/>
                <w:bCs/>
                <w:color w:val="FFFFFF" w:themeColor="background1"/>
                <w:kern w:val="0"/>
                <w:sz w:val="20"/>
                <w:szCs w:val="20"/>
                <w:lang w:val="en-GB" w:eastAsia="en-GB"/>
                <w14:ligatures w14:val="none"/>
              </w:rPr>
            </w:pPr>
            <w:r w:rsidRPr="0031756D">
              <w:rPr>
                <w:rFonts w:ascii="Aptos" w:eastAsia="Times New Roman" w:hAnsi="Aptos" w:cs="Times New Roman"/>
                <w:b/>
                <w:bCs/>
                <w:color w:val="FFFFFF" w:themeColor="background1"/>
                <w:kern w:val="0"/>
                <w:sz w:val="20"/>
                <w:szCs w:val="20"/>
                <w:lang w:val="en-GB" w:eastAsia="en-GB"/>
                <w14:ligatures w14:val="none"/>
              </w:rPr>
              <w:t>Sub-area</w:t>
            </w:r>
          </w:p>
        </w:tc>
        <w:tc>
          <w:tcPr>
            <w:tcW w:w="6804" w:type="dxa"/>
            <w:shd w:val="clear" w:color="auto" w:fill="EAEDF1" w:themeFill="text2" w:themeFillTint="1A"/>
          </w:tcPr>
          <w:p w14:paraId="50C225ED" w14:textId="77777777" w:rsidR="006F0041" w:rsidRPr="00D6392C" w:rsidRDefault="006F0041" w:rsidP="00314DB3">
            <w:pPr>
              <w:spacing w:before="120" w:after="120"/>
              <w:rPr>
                <w:rFonts w:ascii="Aptos" w:eastAsia="Times New Roman" w:hAnsi="Aptos" w:cs="Times New Roman"/>
                <w:b/>
                <w:bCs/>
                <w:color w:val="000000"/>
                <w:kern w:val="0"/>
                <w:sz w:val="20"/>
                <w:szCs w:val="20"/>
                <w:lang w:val="en-GB" w:eastAsia="en-GB"/>
                <w14:ligatures w14:val="none"/>
              </w:rPr>
            </w:pPr>
            <w:r w:rsidRPr="00D6392C">
              <w:rPr>
                <w:rFonts w:ascii="Aptos" w:eastAsia="Times New Roman" w:hAnsi="Aptos" w:cs="Times New Roman"/>
                <w:b/>
                <w:bCs/>
                <w:color w:val="000000"/>
                <w:kern w:val="0"/>
                <w:sz w:val="20"/>
                <w:szCs w:val="20"/>
                <w:lang w:val="en-GB" w:eastAsia="en-GB"/>
                <w14:ligatures w14:val="none"/>
              </w:rPr>
              <w:t>9.1. Democracy</w:t>
            </w:r>
          </w:p>
        </w:tc>
      </w:tr>
      <w:tr w:rsidR="006F0041" w:rsidRPr="00D6392C" w14:paraId="15604F3B" w14:textId="77777777" w:rsidTr="00314DB3">
        <w:trPr>
          <w:trHeight w:val="393"/>
        </w:trPr>
        <w:tc>
          <w:tcPr>
            <w:tcW w:w="2122" w:type="dxa"/>
            <w:shd w:val="clear" w:color="auto" w:fill="44546A" w:themeFill="text2"/>
          </w:tcPr>
          <w:p w14:paraId="03B22EF5" w14:textId="77777777" w:rsidR="006F0041" w:rsidRPr="0031756D" w:rsidRDefault="006F0041" w:rsidP="00314DB3">
            <w:pPr>
              <w:spacing w:before="120" w:after="120"/>
              <w:rPr>
                <w:rFonts w:ascii="Aptos" w:eastAsia="Times New Roman" w:hAnsi="Aptos" w:cs="Times New Roman"/>
                <w:b/>
                <w:bCs/>
                <w:color w:val="FFFFFF" w:themeColor="background1"/>
                <w:kern w:val="0"/>
                <w:sz w:val="20"/>
                <w:szCs w:val="20"/>
                <w:lang w:val="en-GB" w:eastAsia="en-GB"/>
                <w14:ligatures w14:val="none"/>
              </w:rPr>
            </w:pPr>
            <w:r w:rsidRPr="0031756D">
              <w:rPr>
                <w:rFonts w:ascii="Aptos" w:eastAsia="Times New Roman" w:hAnsi="Aptos" w:cs="Times New Roman"/>
                <w:b/>
                <w:bCs/>
                <w:color w:val="FFFFFF" w:themeColor="background1"/>
                <w:kern w:val="0"/>
                <w:sz w:val="20"/>
                <w:szCs w:val="20"/>
                <w:lang w:val="en-GB" w:eastAsia="en-GB"/>
                <w14:ligatures w14:val="none"/>
              </w:rPr>
              <w:t>Reform</w:t>
            </w:r>
          </w:p>
        </w:tc>
        <w:tc>
          <w:tcPr>
            <w:tcW w:w="6804" w:type="dxa"/>
            <w:shd w:val="clear" w:color="auto" w:fill="EAEDF1" w:themeFill="text2" w:themeFillTint="1A"/>
          </w:tcPr>
          <w:p w14:paraId="65C017DC" w14:textId="77777777" w:rsidR="006F0041" w:rsidRPr="00D6392C" w:rsidRDefault="006F0041" w:rsidP="00314DB3">
            <w:pPr>
              <w:spacing w:before="120" w:after="120"/>
              <w:rPr>
                <w:rFonts w:ascii="Aptos" w:eastAsia="Times New Roman" w:hAnsi="Aptos" w:cs="Times New Roman"/>
                <w:b/>
                <w:bCs/>
                <w:color w:val="000000"/>
                <w:kern w:val="0"/>
                <w:sz w:val="20"/>
                <w:szCs w:val="20"/>
                <w:lang w:val="en-GB" w:eastAsia="en-GB"/>
                <w14:ligatures w14:val="none"/>
              </w:rPr>
            </w:pPr>
            <w:r w:rsidRPr="00D6392C">
              <w:rPr>
                <w:rFonts w:ascii="Aptos" w:eastAsia="Times New Roman" w:hAnsi="Aptos" w:cs="Times New Roman"/>
                <w:b/>
                <w:bCs/>
                <w:color w:val="000000"/>
                <w:kern w:val="0"/>
                <w:sz w:val="20"/>
                <w:szCs w:val="20"/>
                <w:lang w:val="en-GB" w:eastAsia="en-GB"/>
                <w14:ligatures w14:val="none"/>
              </w:rPr>
              <w:t>9.1.1. Prepare a Roadmap/Plan and address recommendations of OSCE/ODIHR and Council of Europe bodies on the electoral framework</w:t>
            </w:r>
          </w:p>
        </w:tc>
      </w:tr>
      <w:tr w:rsidR="006F0041" w:rsidRPr="00D6392C" w14:paraId="59DF90AE" w14:textId="77777777" w:rsidTr="00314DB3">
        <w:trPr>
          <w:trHeight w:val="393"/>
        </w:trPr>
        <w:tc>
          <w:tcPr>
            <w:tcW w:w="2122" w:type="dxa"/>
            <w:shd w:val="clear" w:color="auto" w:fill="44546A" w:themeFill="text2"/>
          </w:tcPr>
          <w:p w14:paraId="2ACC4B06" w14:textId="77777777" w:rsidR="006F0041" w:rsidRPr="0031756D" w:rsidRDefault="006F0041" w:rsidP="00314DB3">
            <w:pPr>
              <w:spacing w:before="120" w:after="120"/>
              <w:rPr>
                <w:rFonts w:ascii="Aptos" w:eastAsia="Times New Roman" w:hAnsi="Aptos" w:cs="Times New Roman"/>
                <w:b/>
                <w:bCs/>
                <w:color w:val="FFFFFF" w:themeColor="background1"/>
                <w:kern w:val="0"/>
                <w:sz w:val="20"/>
                <w:szCs w:val="20"/>
                <w:lang w:val="en-GB" w:eastAsia="en-GB"/>
                <w14:ligatures w14:val="none"/>
              </w:rPr>
            </w:pPr>
            <w:r w:rsidRPr="0031756D">
              <w:rPr>
                <w:rFonts w:ascii="Aptos" w:eastAsia="Times New Roman" w:hAnsi="Aptos" w:cs="Times New Roman"/>
                <w:b/>
                <w:bCs/>
                <w:color w:val="FFFFFF" w:themeColor="background1"/>
                <w:kern w:val="0"/>
                <w:sz w:val="20"/>
                <w:szCs w:val="20"/>
                <w:lang w:val="en-GB" w:eastAsia="en-GB"/>
                <w14:ligatures w14:val="none"/>
              </w:rPr>
              <w:t>Reporting indicator</w:t>
            </w:r>
          </w:p>
        </w:tc>
        <w:tc>
          <w:tcPr>
            <w:tcW w:w="6804" w:type="dxa"/>
            <w:shd w:val="clear" w:color="auto" w:fill="EAEDF1" w:themeFill="text2" w:themeFillTint="1A"/>
          </w:tcPr>
          <w:p w14:paraId="7A66EEAE" w14:textId="7AF13E54" w:rsidR="006F0041" w:rsidRPr="00D6392C" w:rsidRDefault="00664947" w:rsidP="00314DB3">
            <w:pPr>
              <w:rPr>
                <w:rFonts w:ascii="Aptos" w:eastAsia="Times New Roman" w:hAnsi="Aptos" w:cs="Times New Roman"/>
                <w:color w:val="000000"/>
                <w:kern w:val="0"/>
                <w:sz w:val="20"/>
                <w:szCs w:val="20"/>
                <w:lang w:val="en-GB" w:eastAsia="en-GB"/>
                <w14:ligatures w14:val="none"/>
              </w:rPr>
            </w:pPr>
            <w:r w:rsidRPr="00D6392C">
              <w:rPr>
                <w:rFonts w:ascii="Aptos" w:eastAsia="Times New Roman" w:hAnsi="Aptos" w:cs="Times New Roman"/>
                <w:color w:val="000000"/>
                <w:kern w:val="0"/>
                <w:sz w:val="20"/>
                <w:szCs w:val="20"/>
                <w:lang w:val="en-GB" w:eastAsia="en-GB"/>
                <w14:ligatures w14:val="none"/>
              </w:rPr>
              <w:t>Status of the electoral framework and its implementation</w:t>
            </w:r>
          </w:p>
        </w:tc>
      </w:tr>
      <w:tr w:rsidR="006F0041" w:rsidRPr="00D6392C" w14:paraId="17D502FD" w14:textId="77777777" w:rsidTr="00314DB3">
        <w:trPr>
          <w:trHeight w:val="759"/>
        </w:trPr>
        <w:tc>
          <w:tcPr>
            <w:tcW w:w="2122" w:type="dxa"/>
            <w:shd w:val="clear" w:color="auto" w:fill="44546A" w:themeFill="text2"/>
          </w:tcPr>
          <w:p w14:paraId="70BE4CA2" w14:textId="77777777" w:rsidR="006F0041" w:rsidRPr="0031756D" w:rsidRDefault="006F0041" w:rsidP="00314DB3">
            <w:pPr>
              <w:spacing w:before="120" w:after="120"/>
              <w:rPr>
                <w:rFonts w:ascii="Aptos" w:eastAsia="Times New Roman" w:hAnsi="Aptos" w:cs="Times New Roman"/>
                <w:b/>
                <w:bCs/>
                <w:color w:val="FFFFFF" w:themeColor="background1"/>
                <w:kern w:val="0"/>
                <w:sz w:val="20"/>
                <w:szCs w:val="20"/>
                <w:lang w:val="en-GB" w:eastAsia="en-GB"/>
                <w14:ligatures w14:val="none"/>
              </w:rPr>
            </w:pPr>
            <w:r w:rsidRPr="0031756D">
              <w:rPr>
                <w:rFonts w:ascii="Aptos" w:eastAsia="Times New Roman" w:hAnsi="Aptos" w:cs="Times New Roman"/>
                <w:b/>
                <w:bCs/>
                <w:color w:val="FFFFFF" w:themeColor="background1"/>
                <w:kern w:val="0"/>
                <w:sz w:val="20"/>
                <w:szCs w:val="20"/>
                <w:lang w:val="en-GB" w:eastAsia="en-GB"/>
                <w14:ligatures w14:val="none"/>
              </w:rPr>
              <w:t>Reform Step</w:t>
            </w:r>
          </w:p>
        </w:tc>
        <w:tc>
          <w:tcPr>
            <w:tcW w:w="6804" w:type="dxa"/>
          </w:tcPr>
          <w:p w14:paraId="6743E6BF" w14:textId="77777777" w:rsidR="006F0041" w:rsidRPr="00D6392C" w:rsidRDefault="006F0041" w:rsidP="006F0041">
            <w:pPr>
              <w:spacing w:before="120" w:after="120"/>
              <w:rPr>
                <w:rFonts w:ascii="Aptos" w:eastAsia="Times New Roman" w:hAnsi="Aptos" w:cs="Times New Roman"/>
                <w:color w:val="000000"/>
                <w:kern w:val="0"/>
                <w:sz w:val="20"/>
                <w:szCs w:val="20"/>
                <w:lang w:val="en-GB" w:eastAsia="en-GB"/>
                <w14:ligatures w14:val="none"/>
              </w:rPr>
            </w:pPr>
            <w:r w:rsidRPr="00D6392C">
              <w:rPr>
                <w:rFonts w:ascii="Aptos" w:eastAsia="Times New Roman" w:hAnsi="Aptos" w:cs="Times New Roman"/>
                <w:color w:val="000000"/>
                <w:kern w:val="0"/>
                <w:sz w:val="20"/>
                <w:szCs w:val="20"/>
                <w:lang w:val="en-GB" w:eastAsia="en-GB"/>
                <w14:ligatures w14:val="none"/>
              </w:rPr>
              <w:t>Second composite step due by December 2025.</w:t>
            </w:r>
          </w:p>
          <w:p w14:paraId="32F82B6B" w14:textId="77777777" w:rsidR="006F0041" w:rsidRPr="00D6392C" w:rsidRDefault="006F0041" w:rsidP="006F0041">
            <w:pPr>
              <w:spacing w:before="120" w:after="120"/>
              <w:rPr>
                <w:rFonts w:ascii="Aptos" w:eastAsia="Times New Roman" w:hAnsi="Aptos" w:cs="Times New Roman"/>
                <w:color w:val="000000"/>
                <w:kern w:val="0"/>
                <w:sz w:val="20"/>
                <w:szCs w:val="20"/>
                <w:lang w:val="en-GB" w:eastAsia="en-GB"/>
                <w14:ligatures w14:val="none"/>
              </w:rPr>
            </w:pPr>
            <w:r w:rsidRPr="00D6392C">
              <w:rPr>
                <w:rFonts w:ascii="Aptos" w:eastAsia="Times New Roman" w:hAnsi="Aptos" w:cs="Times New Roman"/>
                <w:color w:val="000000"/>
                <w:kern w:val="0"/>
                <w:sz w:val="20"/>
                <w:szCs w:val="20"/>
                <w:lang w:val="en-GB" w:eastAsia="en-GB"/>
                <w14:ligatures w14:val="none"/>
              </w:rPr>
              <w:t>•</w:t>
            </w:r>
            <w:r w:rsidRPr="00D6392C">
              <w:rPr>
                <w:rFonts w:ascii="Aptos" w:eastAsia="Times New Roman" w:hAnsi="Aptos" w:cs="Times New Roman"/>
                <w:color w:val="000000"/>
                <w:kern w:val="0"/>
                <w:sz w:val="20"/>
                <w:szCs w:val="20"/>
                <w:lang w:val="en-GB" w:eastAsia="en-GB"/>
                <w14:ligatures w14:val="none"/>
              </w:rPr>
              <w:tab/>
            </w:r>
            <w:r w:rsidRPr="00D532F3">
              <w:rPr>
                <w:rFonts w:ascii="Aptos" w:eastAsia="Times New Roman" w:hAnsi="Aptos" w:cs="Times New Roman"/>
                <w:b/>
                <w:bCs/>
                <w:color w:val="000000"/>
                <w:kern w:val="0"/>
                <w:sz w:val="20"/>
                <w:szCs w:val="20"/>
                <w:lang w:val="en-GB" w:eastAsia="en-GB"/>
                <w14:ligatures w14:val="none"/>
              </w:rPr>
              <w:t>Relevant legislation to address ODIHR and Council of Europe key recommendations, revised and adopted. Indicative list of laws subject to final approval of the WG include amendments to the following laws: Law on the Election of Members of Parliament, Law on Local Elections, Law on the Constitutional Court, Law on the Prevention of Corruption, and the Law on Financing Political Activities.</w:t>
            </w:r>
          </w:p>
          <w:p w14:paraId="559031D8" w14:textId="75A66F46" w:rsidR="006F0041" w:rsidRPr="00D6392C" w:rsidRDefault="006F0041" w:rsidP="006F0041">
            <w:pPr>
              <w:spacing w:before="120" w:after="120"/>
              <w:rPr>
                <w:rFonts w:ascii="Aptos" w:eastAsia="Times New Roman" w:hAnsi="Aptos" w:cs="Times New Roman"/>
                <w:color w:val="000000"/>
                <w:kern w:val="0"/>
                <w:sz w:val="20"/>
                <w:szCs w:val="20"/>
                <w:lang w:val="en-GB" w:eastAsia="en-GB"/>
                <w14:ligatures w14:val="none"/>
              </w:rPr>
            </w:pPr>
            <w:r w:rsidRPr="00D6392C">
              <w:rPr>
                <w:rFonts w:ascii="Aptos" w:eastAsia="Times New Roman" w:hAnsi="Aptos" w:cs="Times New Roman"/>
                <w:color w:val="000000"/>
                <w:kern w:val="0"/>
                <w:sz w:val="20"/>
                <w:szCs w:val="20"/>
                <w:lang w:val="en-GB" w:eastAsia="en-GB"/>
                <w14:ligatures w14:val="none"/>
              </w:rPr>
              <w:t>•</w:t>
            </w:r>
            <w:r w:rsidRPr="00D6392C">
              <w:rPr>
                <w:rFonts w:ascii="Aptos" w:eastAsia="Times New Roman" w:hAnsi="Aptos" w:cs="Times New Roman"/>
                <w:color w:val="000000"/>
                <w:kern w:val="0"/>
                <w:sz w:val="20"/>
                <w:szCs w:val="20"/>
                <w:lang w:val="en-GB" w:eastAsia="en-GB"/>
                <w14:ligatures w14:val="none"/>
              </w:rPr>
              <w:tab/>
              <w:t>Improved capacities of Republic Electoral Commission and granting it its own secretariat. Achieving this step would mean Secretariat established by the decision of the National Assembly of the Republic of Serbia.</w:t>
            </w:r>
          </w:p>
        </w:tc>
      </w:tr>
      <w:tr w:rsidR="006F0041" w:rsidRPr="00D6392C" w14:paraId="675B57DB" w14:textId="77777777" w:rsidTr="00314DB3">
        <w:trPr>
          <w:trHeight w:val="559"/>
        </w:trPr>
        <w:tc>
          <w:tcPr>
            <w:tcW w:w="2122" w:type="dxa"/>
            <w:shd w:val="clear" w:color="auto" w:fill="44546A" w:themeFill="text2"/>
          </w:tcPr>
          <w:p w14:paraId="61E05D61" w14:textId="77777777" w:rsidR="006F0041" w:rsidRPr="0031756D" w:rsidRDefault="006F0041" w:rsidP="00314DB3">
            <w:pPr>
              <w:spacing w:before="120" w:after="120"/>
              <w:rPr>
                <w:rFonts w:ascii="Aptos" w:eastAsia="Times New Roman" w:hAnsi="Aptos" w:cs="Times New Roman"/>
                <w:color w:val="FFFFFF" w:themeColor="background1"/>
                <w:sz w:val="20"/>
                <w:szCs w:val="20"/>
                <w:lang w:val="en-GB" w:eastAsia="en-GB"/>
              </w:rPr>
            </w:pPr>
            <w:r w:rsidRPr="0031756D">
              <w:rPr>
                <w:rFonts w:ascii="Aptos" w:eastAsia="Times New Roman" w:hAnsi="Aptos" w:cs="Times New Roman"/>
                <w:b/>
                <w:bCs/>
                <w:color w:val="FFFFFF" w:themeColor="background1"/>
                <w:kern w:val="0"/>
                <w:sz w:val="20"/>
                <w:szCs w:val="20"/>
                <w:lang w:val="en-GB" w:eastAsia="en-GB"/>
                <w14:ligatures w14:val="none"/>
              </w:rPr>
              <w:t>Step deadline</w:t>
            </w:r>
          </w:p>
        </w:tc>
        <w:tc>
          <w:tcPr>
            <w:tcW w:w="6804" w:type="dxa"/>
          </w:tcPr>
          <w:p w14:paraId="776B384A" w14:textId="21C8491C" w:rsidR="006F0041" w:rsidRPr="00D6392C" w:rsidRDefault="006F0041" w:rsidP="00314DB3">
            <w:pPr>
              <w:spacing w:before="120" w:after="120"/>
              <w:rPr>
                <w:rFonts w:ascii="Aptos" w:eastAsia="Times New Roman" w:hAnsi="Aptos" w:cs="Times New Roman"/>
                <w:color w:val="000000"/>
                <w:kern w:val="0"/>
                <w:sz w:val="20"/>
                <w:szCs w:val="20"/>
                <w:lang w:val="en-GB" w:eastAsia="en-GB"/>
                <w14:ligatures w14:val="none"/>
              </w:rPr>
            </w:pPr>
            <w:r w:rsidRPr="00D6392C">
              <w:rPr>
                <w:rFonts w:ascii="Aptos" w:eastAsia="Times New Roman" w:hAnsi="Aptos" w:cs="Times New Roman"/>
                <w:color w:val="000000"/>
                <w:kern w:val="0"/>
                <w:sz w:val="20"/>
                <w:szCs w:val="20"/>
                <w:lang w:val="en-GB" w:eastAsia="en-GB"/>
                <w14:ligatures w14:val="none"/>
              </w:rPr>
              <w:t>December 202</w:t>
            </w:r>
            <w:r w:rsidR="00664947" w:rsidRPr="00D6392C">
              <w:rPr>
                <w:rFonts w:ascii="Aptos" w:eastAsia="Times New Roman" w:hAnsi="Aptos" w:cs="Times New Roman"/>
                <w:color w:val="000000"/>
                <w:kern w:val="0"/>
                <w:sz w:val="20"/>
                <w:szCs w:val="20"/>
                <w:lang w:val="en-GB" w:eastAsia="en-GB"/>
                <w14:ligatures w14:val="none"/>
              </w:rPr>
              <w:t>5</w:t>
            </w:r>
          </w:p>
        </w:tc>
      </w:tr>
      <w:tr w:rsidR="006F0041" w:rsidRPr="00D6392C" w14:paraId="50BEE210" w14:textId="77777777" w:rsidTr="00314DB3">
        <w:trPr>
          <w:trHeight w:val="553"/>
        </w:trPr>
        <w:tc>
          <w:tcPr>
            <w:tcW w:w="2122" w:type="dxa"/>
            <w:shd w:val="clear" w:color="auto" w:fill="44546A" w:themeFill="text2"/>
          </w:tcPr>
          <w:p w14:paraId="364658D5" w14:textId="77777777" w:rsidR="006F0041" w:rsidRPr="0031756D" w:rsidRDefault="006F0041" w:rsidP="00314DB3">
            <w:pPr>
              <w:spacing w:before="120" w:after="120"/>
              <w:rPr>
                <w:rFonts w:ascii="Aptos" w:eastAsia="Times New Roman" w:hAnsi="Aptos" w:cs="Times New Roman"/>
                <w:b/>
                <w:bCs/>
                <w:color w:val="FFFFFF" w:themeColor="background1"/>
                <w:kern w:val="0"/>
                <w:sz w:val="20"/>
                <w:szCs w:val="20"/>
                <w:lang w:val="en-GB" w:eastAsia="en-GB"/>
                <w14:ligatures w14:val="none"/>
              </w:rPr>
            </w:pPr>
            <w:r w:rsidRPr="0031756D">
              <w:rPr>
                <w:rFonts w:ascii="Aptos" w:eastAsia="Times New Roman" w:hAnsi="Aptos" w:cs="Times New Roman"/>
                <w:b/>
                <w:bCs/>
                <w:color w:val="FFFFFF" w:themeColor="background1"/>
                <w:kern w:val="0"/>
                <w:sz w:val="20"/>
                <w:szCs w:val="20"/>
                <w:lang w:val="en-GB" w:eastAsia="en-GB"/>
                <w14:ligatures w14:val="none"/>
              </w:rPr>
              <w:t>Step value in EUR</w:t>
            </w:r>
          </w:p>
        </w:tc>
        <w:tc>
          <w:tcPr>
            <w:tcW w:w="6804" w:type="dxa"/>
          </w:tcPr>
          <w:p w14:paraId="43CAA8EA" w14:textId="6431216C" w:rsidR="006F0041" w:rsidRPr="00D6392C" w:rsidRDefault="00664947" w:rsidP="00314DB3">
            <w:pPr>
              <w:spacing w:before="120" w:after="120"/>
              <w:rPr>
                <w:rFonts w:ascii="Aptos" w:eastAsia="Times New Roman" w:hAnsi="Aptos" w:cs="Times New Roman"/>
                <w:color w:val="000000"/>
                <w:kern w:val="0"/>
                <w:sz w:val="20"/>
                <w:szCs w:val="20"/>
                <w:lang w:val="en-GB" w:eastAsia="en-GB"/>
                <w14:ligatures w14:val="none"/>
              </w:rPr>
            </w:pPr>
            <w:r w:rsidRPr="00D6392C">
              <w:rPr>
                <w:rFonts w:ascii="Aptos" w:eastAsia="Times New Roman" w:hAnsi="Aptos" w:cs="Times New Roman"/>
                <w:color w:val="000000"/>
                <w:kern w:val="0"/>
                <w:sz w:val="20"/>
                <w:szCs w:val="20"/>
                <w:lang w:val="en-GB" w:eastAsia="en-GB"/>
                <w14:ligatures w14:val="none"/>
              </w:rPr>
              <w:t>27.175.246,75</w:t>
            </w:r>
          </w:p>
        </w:tc>
      </w:tr>
      <w:tr w:rsidR="006F0041" w:rsidRPr="00D6392C" w14:paraId="09B6546C" w14:textId="77777777" w:rsidTr="00314DB3">
        <w:trPr>
          <w:trHeight w:val="535"/>
        </w:trPr>
        <w:tc>
          <w:tcPr>
            <w:tcW w:w="2122" w:type="dxa"/>
            <w:shd w:val="clear" w:color="auto" w:fill="44546A" w:themeFill="text2"/>
          </w:tcPr>
          <w:p w14:paraId="45F35D79" w14:textId="77777777" w:rsidR="006F0041" w:rsidRPr="0031756D" w:rsidRDefault="006F0041" w:rsidP="00314DB3">
            <w:pPr>
              <w:spacing w:before="120" w:after="120"/>
              <w:rPr>
                <w:rFonts w:ascii="Aptos" w:eastAsia="Times New Roman" w:hAnsi="Aptos" w:cs="Times New Roman"/>
                <w:b/>
                <w:bCs/>
                <w:color w:val="FFFFFF" w:themeColor="background1"/>
                <w:kern w:val="0"/>
                <w:sz w:val="20"/>
                <w:szCs w:val="20"/>
                <w:lang w:val="en-GB" w:eastAsia="en-GB"/>
                <w14:ligatures w14:val="none"/>
              </w:rPr>
            </w:pPr>
            <w:r w:rsidRPr="0031756D">
              <w:rPr>
                <w:rFonts w:ascii="Aptos" w:eastAsia="Times New Roman" w:hAnsi="Aptos" w:cs="Times New Roman"/>
                <w:b/>
                <w:bCs/>
                <w:color w:val="FFFFFF" w:themeColor="background1"/>
                <w:kern w:val="0"/>
                <w:sz w:val="20"/>
                <w:szCs w:val="20"/>
                <w:lang w:val="en-GB" w:eastAsia="en-GB"/>
                <w14:ligatures w14:val="none"/>
              </w:rPr>
              <w:t>Responsible</w:t>
            </w:r>
          </w:p>
        </w:tc>
        <w:tc>
          <w:tcPr>
            <w:tcW w:w="6804" w:type="dxa"/>
          </w:tcPr>
          <w:p w14:paraId="2455C6BF" w14:textId="77777777" w:rsidR="006F0041" w:rsidRPr="00D6392C" w:rsidRDefault="006F0041" w:rsidP="00314DB3">
            <w:pPr>
              <w:spacing w:before="120" w:after="120"/>
              <w:rPr>
                <w:rFonts w:ascii="Aptos" w:eastAsia="Times New Roman" w:hAnsi="Aptos" w:cs="Times New Roman"/>
                <w:color w:val="000000"/>
                <w:kern w:val="0"/>
                <w:sz w:val="20"/>
                <w:szCs w:val="20"/>
                <w:lang w:val="en-GB" w:eastAsia="en-GB"/>
                <w14:ligatures w14:val="none"/>
              </w:rPr>
            </w:pPr>
            <w:r w:rsidRPr="00D6392C">
              <w:rPr>
                <w:rFonts w:ascii="Aptos" w:eastAsia="Times New Roman" w:hAnsi="Aptos" w:cs="Times New Roman"/>
                <w:color w:val="000000"/>
                <w:kern w:val="0"/>
                <w:sz w:val="20"/>
                <w:szCs w:val="20"/>
                <w:lang w:val="en-GB" w:eastAsia="en-GB"/>
                <w14:ligatures w14:val="none"/>
              </w:rPr>
              <w:t>Working group for the Improvement of the Electoral Process</w:t>
            </w:r>
          </w:p>
        </w:tc>
      </w:tr>
      <w:tr w:rsidR="006F0041" w:rsidRPr="00D6392C" w14:paraId="185DECD7" w14:textId="77777777" w:rsidTr="00314DB3">
        <w:trPr>
          <w:trHeight w:val="583"/>
        </w:trPr>
        <w:tc>
          <w:tcPr>
            <w:tcW w:w="2122" w:type="dxa"/>
            <w:shd w:val="clear" w:color="auto" w:fill="44546A" w:themeFill="text2"/>
          </w:tcPr>
          <w:p w14:paraId="32D16E34" w14:textId="77777777" w:rsidR="006F0041" w:rsidRPr="0031756D" w:rsidRDefault="006F0041" w:rsidP="00314DB3">
            <w:pPr>
              <w:spacing w:before="120" w:after="120"/>
              <w:rPr>
                <w:rFonts w:ascii="Aptos" w:eastAsia="Times New Roman" w:hAnsi="Aptos" w:cs="Times New Roman"/>
                <w:color w:val="FFFFFF" w:themeColor="background1"/>
                <w:sz w:val="20"/>
                <w:szCs w:val="20"/>
                <w:lang w:val="en-GB" w:eastAsia="en-GB"/>
              </w:rPr>
            </w:pPr>
            <w:r w:rsidRPr="0031756D">
              <w:rPr>
                <w:rFonts w:ascii="Aptos" w:eastAsia="Times New Roman" w:hAnsi="Aptos" w:cs="Times New Roman"/>
                <w:b/>
                <w:bCs/>
                <w:color w:val="FFFFFF" w:themeColor="background1"/>
                <w:kern w:val="0"/>
                <w:sz w:val="20"/>
                <w:szCs w:val="20"/>
                <w:lang w:val="en-GB" w:eastAsia="en-GB"/>
                <w14:ligatures w14:val="none"/>
              </w:rPr>
              <w:t>Baseline</w:t>
            </w:r>
          </w:p>
        </w:tc>
        <w:tc>
          <w:tcPr>
            <w:tcW w:w="6804" w:type="dxa"/>
          </w:tcPr>
          <w:p w14:paraId="277D98DC" w14:textId="77777777" w:rsidR="006F0041" w:rsidRPr="00D6392C" w:rsidRDefault="006F0041" w:rsidP="00314DB3">
            <w:pPr>
              <w:spacing w:before="120" w:after="120"/>
              <w:rPr>
                <w:rFonts w:ascii="Aptos" w:eastAsia="Times New Roman" w:hAnsi="Aptos" w:cs="Times New Roman"/>
                <w:color w:val="000000"/>
                <w:kern w:val="0"/>
                <w:sz w:val="20"/>
                <w:szCs w:val="20"/>
                <w:lang w:val="en-GB" w:eastAsia="en-GB"/>
                <w14:ligatures w14:val="none"/>
              </w:rPr>
            </w:pPr>
            <w:r w:rsidRPr="00D6392C">
              <w:rPr>
                <w:rFonts w:ascii="Aptos" w:eastAsia="Times New Roman" w:hAnsi="Aptos" w:cs="Times New Roman"/>
                <w:color w:val="000000"/>
                <w:kern w:val="0"/>
                <w:sz w:val="20"/>
                <w:szCs w:val="20"/>
                <w:lang w:val="en-GB" w:eastAsia="en-GB"/>
                <w14:ligatures w14:val="none"/>
              </w:rPr>
              <w:t xml:space="preserve">ODIHR February 2024 Report recommending </w:t>
            </w:r>
            <w:proofErr w:type="gramStart"/>
            <w:r w:rsidRPr="00D6392C">
              <w:rPr>
                <w:rFonts w:ascii="Aptos" w:eastAsia="Times New Roman" w:hAnsi="Aptos" w:cs="Times New Roman"/>
                <w:color w:val="000000"/>
                <w:kern w:val="0"/>
                <w:sz w:val="20"/>
                <w:szCs w:val="20"/>
                <w:lang w:val="en-GB" w:eastAsia="en-GB"/>
                <w14:ligatures w14:val="none"/>
              </w:rPr>
              <w:t>to address</w:t>
            </w:r>
            <w:proofErr w:type="gramEnd"/>
            <w:r w:rsidRPr="00D6392C">
              <w:rPr>
                <w:rFonts w:ascii="Aptos" w:eastAsia="Times New Roman" w:hAnsi="Aptos" w:cs="Times New Roman"/>
                <w:color w:val="000000"/>
                <w:kern w:val="0"/>
                <w:sz w:val="20"/>
                <w:szCs w:val="20"/>
                <w:lang w:val="en-GB" w:eastAsia="en-GB"/>
                <w14:ligatures w14:val="none"/>
              </w:rPr>
              <w:t xml:space="preserve"> as a matter of priority recommendations pertaining to REM, Voter Register and Working group</w:t>
            </w:r>
          </w:p>
        </w:tc>
      </w:tr>
      <w:tr w:rsidR="006F0041" w:rsidRPr="00D6392C" w14:paraId="7E4BD623" w14:textId="77777777" w:rsidTr="00314DB3">
        <w:trPr>
          <w:trHeight w:val="577"/>
        </w:trPr>
        <w:tc>
          <w:tcPr>
            <w:tcW w:w="2122" w:type="dxa"/>
            <w:shd w:val="clear" w:color="auto" w:fill="44546A" w:themeFill="text2"/>
          </w:tcPr>
          <w:p w14:paraId="6653C16E" w14:textId="77777777" w:rsidR="006F0041" w:rsidRPr="0031756D" w:rsidRDefault="006F0041" w:rsidP="00314DB3">
            <w:pPr>
              <w:spacing w:before="120" w:after="120"/>
              <w:rPr>
                <w:rFonts w:ascii="Aptos" w:eastAsia="Times New Roman" w:hAnsi="Aptos" w:cs="Times New Roman"/>
                <w:b/>
                <w:bCs/>
                <w:color w:val="FFFFFF" w:themeColor="background1"/>
                <w:kern w:val="0"/>
                <w:sz w:val="20"/>
                <w:szCs w:val="20"/>
                <w:lang w:val="en-GB" w:eastAsia="en-GB"/>
                <w14:ligatures w14:val="none"/>
              </w:rPr>
            </w:pPr>
            <w:r w:rsidRPr="0031756D">
              <w:rPr>
                <w:rFonts w:ascii="Aptos" w:eastAsia="Times New Roman" w:hAnsi="Aptos" w:cs="Times New Roman"/>
                <w:b/>
                <w:bCs/>
                <w:color w:val="FFFFFF" w:themeColor="background1"/>
                <w:kern w:val="0"/>
                <w:sz w:val="20"/>
                <w:szCs w:val="20"/>
                <w:lang w:val="en-GB" w:eastAsia="en-GB"/>
                <w14:ligatures w14:val="none"/>
              </w:rPr>
              <w:t>Sources of verification</w:t>
            </w:r>
          </w:p>
        </w:tc>
        <w:tc>
          <w:tcPr>
            <w:tcW w:w="6804" w:type="dxa"/>
          </w:tcPr>
          <w:p w14:paraId="3630842F" w14:textId="749F66F0" w:rsidR="006F0041" w:rsidRPr="00D6392C" w:rsidRDefault="00664947" w:rsidP="00314DB3">
            <w:pPr>
              <w:spacing w:before="120" w:after="120"/>
              <w:rPr>
                <w:rFonts w:ascii="Aptos" w:eastAsia="Times New Roman" w:hAnsi="Aptos" w:cs="Times New Roman"/>
                <w:color w:val="000000"/>
                <w:kern w:val="0"/>
                <w:sz w:val="20"/>
                <w:szCs w:val="20"/>
                <w:lang w:val="en-GB" w:eastAsia="en-GB"/>
                <w14:ligatures w14:val="none"/>
              </w:rPr>
            </w:pPr>
            <w:r w:rsidRPr="00D6392C">
              <w:rPr>
                <w:rFonts w:ascii="Aptos" w:eastAsia="Times New Roman" w:hAnsi="Aptos" w:cs="Times New Roman"/>
                <w:color w:val="000000"/>
                <w:kern w:val="0"/>
                <w:sz w:val="20"/>
                <w:szCs w:val="20"/>
                <w:lang w:val="en-GB" w:eastAsia="en-GB"/>
                <w14:ligatures w14:val="none"/>
              </w:rPr>
              <w:t>Official Gazette (for the relevant legislation), Decision published</w:t>
            </w:r>
          </w:p>
        </w:tc>
      </w:tr>
    </w:tbl>
    <w:p w14:paraId="3E62FF77" w14:textId="77777777" w:rsidR="006F0041" w:rsidRPr="00D6392C" w:rsidRDefault="006F0041" w:rsidP="006F0041">
      <w:pPr>
        <w:rPr>
          <w:lang w:val="en-GB"/>
        </w:rPr>
      </w:pPr>
    </w:p>
    <w:p w14:paraId="76EF50B8" w14:textId="77777777" w:rsidR="006F0041" w:rsidRPr="00D6392C" w:rsidRDefault="006F0041" w:rsidP="006F0041">
      <w:pPr>
        <w:pStyle w:val="Heading1"/>
        <w:numPr>
          <w:ilvl w:val="0"/>
          <w:numId w:val="1"/>
        </w:numPr>
        <w:rPr>
          <w:lang w:val="en-GB"/>
        </w:rPr>
      </w:pPr>
      <w:r w:rsidRPr="00D6392C">
        <w:rPr>
          <w:lang w:val="en-GB"/>
        </w:rPr>
        <w:t>Analysis</w:t>
      </w:r>
    </w:p>
    <w:p w14:paraId="55F8908A" w14:textId="77777777" w:rsidR="006F0041" w:rsidRPr="00D6392C" w:rsidRDefault="006F0041" w:rsidP="006F0041">
      <w:pPr>
        <w:rPr>
          <w:lang w:val="en-GB"/>
        </w:rPr>
      </w:pPr>
    </w:p>
    <w:tbl>
      <w:tblPr>
        <w:tblStyle w:val="GridTable1Light"/>
        <w:tblW w:w="0" w:type="auto"/>
        <w:tblLook w:val="0480" w:firstRow="0" w:lastRow="0" w:firstColumn="1" w:lastColumn="0" w:noHBand="0" w:noVBand="1"/>
      </w:tblPr>
      <w:tblGrid>
        <w:gridCol w:w="2263"/>
        <w:gridCol w:w="6753"/>
      </w:tblGrid>
      <w:tr w:rsidR="006F0041" w:rsidRPr="00D6392C" w14:paraId="675B00CD"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3BCDD4FA" w14:textId="77777777" w:rsidR="006F0041" w:rsidRPr="008D53C1" w:rsidRDefault="006F0041" w:rsidP="00314DB3">
            <w:pPr>
              <w:spacing w:before="120" w:after="120"/>
              <w:rPr>
                <w:rFonts w:ascii="Aptos" w:eastAsia="Times New Roman" w:hAnsi="Aptos" w:cs="Times New Roman"/>
                <w:color w:val="FFFFFF" w:themeColor="background1"/>
                <w:kern w:val="0"/>
                <w:sz w:val="20"/>
                <w:szCs w:val="20"/>
                <w:lang w:val="en-GB" w:eastAsia="en-GB"/>
                <w14:ligatures w14:val="none"/>
              </w:rPr>
            </w:pPr>
            <w:r w:rsidRPr="008D53C1">
              <w:rPr>
                <w:rFonts w:ascii="Aptos" w:eastAsia="Times New Roman" w:hAnsi="Aptos" w:cs="Times New Roman"/>
                <w:color w:val="FFFFFF" w:themeColor="background1"/>
                <w:kern w:val="0"/>
                <w:sz w:val="20"/>
                <w:szCs w:val="20"/>
                <w:lang w:val="en-GB" w:eastAsia="en-GB"/>
                <w14:ligatures w14:val="none"/>
              </w:rPr>
              <w:t>Define step milestones</w:t>
            </w:r>
          </w:p>
        </w:tc>
        <w:tc>
          <w:tcPr>
            <w:tcW w:w="6753" w:type="dxa"/>
          </w:tcPr>
          <w:p w14:paraId="6176E78A" w14:textId="06015BD8" w:rsidR="00406720" w:rsidRPr="00406720" w:rsidRDefault="00406720" w:rsidP="00406720">
            <w:pPr>
              <w:pStyle w:val="ListParagraph"/>
              <w:numPr>
                <w:ilvl w:val="0"/>
                <w:numId w:val="5"/>
              </w:numPr>
              <w:spacing w:before="120" w:after="12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sz w:val="20"/>
                <w:szCs w:val="20"/>
                <w:lang w:val="en-GB" w:eastAsia="en-GB"/>
                <w14:ligatures w14:val="none"/>
              </w:rPr>
            </w:pPr>
            <w:r w:rsidRPr="00406720">
              <w:rPr>
                <w:rFonts w:eastAsia="Times New Roman" w:cstheme="minorHAnsi"/>
                <w:color w:val="000000"/>
                <w:kern w:val="0"/>
                <w:sz w:val="20"/>
                <w:szCs w:val="20"/>
                <w:lang w:val="en-GB" w:eastAsia="en-GB"/>
                <w14:ligatures w14:val="none"/>
              </w:rPr>
              <w:t xml:space="preserve">Identification </w:t>
            </w:r>
            <w:r w:rsidR="00D8224C" w:rsidRPr="00406720">
              <w:rPr>
                <w:rFonts w:eastAsia="Times New Roman" w:cstheme="minorHAnsi"/>
                <w:color w:val="000000"/>
                <w:kern w:val="0"/>
                <w:sz w:val="20"/>
                <w:szCs w:val="20"/>
                <w:lang w:val="en-GB" w:eastAsia="en-GB"/>
                <w14:ligatures w14:val="none"/>
              </w:rPr>
              <w:t xml:space="preserve">by the Working Group </w:t>
            </w:r>
            <w:r w:rsidRPr="00406720">
              <w:rPr>
                <w:rFonts w:eastAsia="Times New Roman" w:cstheme="minorHAnsi"/>
                <w:color w:val="000000"/>
                <w:kern w:val="0"/>
                <w:sz w:val="20"/>
                <w:szCs w:val="20"/>
                <w:lang w:val="en-GB" w:eastAsia="en-GB"/>
                <w14:ligatures w14:val="none"/>
              </w:rPr>
              <w:t>of the ODIHR and Council of Europe key recommendations for the Improvement of the Electoral Process (hereinafter referred to as the “WG”) or another competent body.</w:t>
            </w:r>
            <w:r w:rsidR="00D8224C">
              <w:rPr>
                <w:rFonts w:eastAsia="Times New Roman" w:cstheme="minorHAnsi"/>
                <w:color w:val="000000"/>
                <w:kern w:val="0"/>
                <w:sz w:val="20"/>
                <w:szCs w:val="20"/>
                <w:lang w:val="en-GB" w:eastAsia="en-GB"/>
                <w14:ligatures w14:val="none"/>
              </w:rPr>
              <w:t xml:space="preserve"> </w:t>
            </w:r>
          </w:p>
          <w:p w14:paraId="299D7CF0" w14:textId="77777777" w:rsidR="00406720" w:rsidRPr="00406720" w:rsidRDefault="00406720" w:rsidP="00406720">
            <w:pPr>
              <w:pStyle w:val="ListParagraph"/>
              <w:numPr>
                <w:ilvl w:val="0"/>
                <w:numId w:val="5"/>
              </w:numPr>
              <w:spacing w:before="120" w:after="12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sz w:val="20"/>
                <w:szCs w:val="20"/>
                <w:lang w:val="en-GB" w:eastAsia="en-GB"/>
                <w14:ligatures w14:val="none"/>
              </w:rPr>
            </w:pPr>
            <w:r w:rsidRPr="00406720">
              <w:rPr>
                <w:rFonts w:eastAsia="Times New Roman" w:cstheme="minorHAnsi"/>
                <w:color w:val="000000"/>
                <w:kern w:val="0"/>
                <w:sz w:val="20"/>
                <w:szCs w:val="20"/>
                <w:lang w:val="en-GB" w:eastAsia="en-GB"/>
                <w14:ligatures w14:val="none"/>
              </w:rPr>
              <w:t>Identification of laws that require revision or adoption to implement the key recommendations, in addition to those listed in the indicative list (Law on the Election of Members of Parliament, Law on Local Elections, Law on the Constitutional Court, Law on the Prevention of Corruption, and Law on Financing Political Activities), by the WG or another competent body.</w:t>
            </w:r>
          </w:p>
          <w:p w14:paraId="19CEDAEE" w14:textId="77777777" w:rsidR="00406720" w:rsidRPr="00406720" w:rsidRDefault="00406720" w:rsidP="00406720">
            <w:pPr>
              <w:pStyle w:val="ListParagraph"/>
              <w:numPr>
                <w:ilvl w:val="0"/>
                <w:numId w:val="5"/>
              </w:numPr>
              <w:spacing w:before="120" w:after="12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sz w:val="20"/>
                <w:szCs w:val="20"/>
                <w:lang w:val="en-GB" w:eastAsia="en-GB"/>
                <w14:ligatures w14:val="none"/>
              </w:rPr>
            </w:pPr>
            <w:r w:rsidRPr="00406720">
              <w:rPr>
                <w:rFonts w:eastAsia="Times New Roman" w:cstheme="minorHAnsi"/>
                <w:color w:val="000000"/>
                <w:kern w:val="0"/>
                <w:sz w:val="20"/>
                <w:szCs w:val="20"/>
                <w:lang w:val="en-GB" w:eastAsia="en-GB"/>
                <w14:ligatures w14:val="none"/>
              </w:rPr>
              <w:lastRenderedPageBreak/>
              <w:t>Drafting of recommendations for practical measures to be implemented by the relevant authorities, where no legal amendment is required to fulfil the key recommendations of ODIHR/Council of Europe, by the WG or another newly established body.</w:t>
            </w:r>
          </w:p>
          <w:p w14:paraId="2FB1AAD6" w14:textId="77777777" w:rsidR="00406720" w:rsidRPr="00406720" w:rsidRDefault="00406720" w:rsidP="00406720">
            <w:pPr>
              <w:pStyle w:val="ListParagraph"/>
              <w:numPr>
                <w:ilvl w:val="0"/>
                <w:numId w:val="5"/>
              </w:numPr>
              <w:spacing w:before="120" w:after="12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sz w:val="20"/>
                <w:szCs w:val="20"/>
                <w:lang w:val="en-GB" w:eastAsia="en-GB"/>
                <w14:ligatures w14:val="none"/>
              </w:rPr>
            </w:pPr>
            <w:r w:rsidRPr="00406720">
              <w:rPr>
                <w:rFonts w:eastAsia="Times New Roman" w:cstheme="minorHAnsi"/>
                <w:color w:val="000000"/>
                <w:kern w:val="0"/>
                <w:sz w:val="20"/>
                <w:szCs w:val="20"/>
                <w:lang w:val="en-GB" w:eastAsia="en-GB"/>
                <w14:ligatures w14:val="none"/>
              </w:rPr>
              <w:t>Development of amendments through a consultative process involving stakeholders from the government, opposition, and civil society, within the WG or another (newly established) body.</w:t>
            </w:r>
          </w:p>
          <w:p w14:paraId="4DF3AD6E" w14:textId="7D2D1434" w:rsidR="00406720" w:rsidRPr="00406720" w:rsidRDefault="00406720" w:rsidP="00406720">
            <w:pPr>
              <w:pStyle w:val="ListParagraph"/>
              <w:numPr>
                <w:ilvl w:val="0"/>
                <w:numId w:val="5"/>
              </w:numPr>
              <w:spacing w:before="120" w:after="12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sz w:val="20"/>
                <w:szCs w:val="20"/>
                <w:lang w:val="en-GB" w:eastAsia="en-GB"/>
                <w14:ligatures w14:val="none"/>
              </w:rPr>
            </w:pPr>
            <w:r w:rsidRPr="00406720">
              <w:rPr>
                <w:rFonts w:eastAsia="Times New Roman" w:cstheme="minorHAnsi"/>
                <w:color w:val="000000"/>
                <w:kern w:val="0"/>
                <w:sz w:val="20"/>
                <w:szCs w:val="20"/>
                <w:lang w:val="en-GB" w:eastAsia="en-GB"/>
                <w14:ligatures w14:val="none"/>
              </w:rPr>
              <w:t xml:space="preserve">Organisation of public debates and/or public hearings on draft laws (by competent ministries and/or parliamentary committees), with debates open for a minimum of 20 working days and published on the eConsultation Portal and other platforms (e.g., the WG page on the Parliamentary website), together with the final </w:t>
            </w:r>
            <w:r w:rsidR="00241BE4" w:rsidRPr="00406720">
              <w:rPr>
                <w:rFonts w:eastAsia="Times New Roman" w:cstheme="minorHAnsi"/>
                <w:color w:val="000000"/>
                <w:kern w:val="0"/>
                <w:sz w:val="20"/>
                <w:szCs w:val="20"/>
                <w:lang w:val="en-GB" w:eastAsia="en-GB"/>
                <w14:ligatures w14:val="none"/>
              </w:rPr>
              <w:t>version</w:t>
            </w:r>
            <w:r w:rsidR="00241BE4">
              <w:rPr>
                <w:rFonts w:eastAsia="Times New Roman" w:cstheme="minorHAnsi"/>
                <w:color w:val="000000"/>
                <w:kern w:val="0"/>
                <w:sz w:val="20"/>
                <w:szCs w:val="20"/>
                <w:lang w:val="en-GB" w:eastAsia="en-GB"/>
                <w14:ligatures w14:val="none"/>
              </w:rPr>
              <w:t>s</w:t>
            </w:r>
            <w:r w:rsidR="00241BE4" w:rsidRPr="00406720">
              <w:rPr>
                <w:rFonts w:eastAsia="Times New Roman" w:cstheme="minorHAnsi"/>
                <w:color w:val="000000"/>
                <w:kern w:val="0"/>
                <w:sz w:val="20"/>
                <w:szCs w:val="20"/>
                <w:lang w:val="en-GB" w:eastAsia="en-GB"/>
                <w14:ligatures w14:val="none"/>
              </w:rPr>
              <w:t xml:space="preserve"> </w:t>
            </w:r>
            <w:r w:rsidR="00241BE4">
              <w:rPr>
                <w:rFonts w:eastAsia="Times New Roman" w:cstheme="minorHAnsi"/>
                <w:color w:val="000000"/>
                <w:kern w:val="0"/>
                <w:sz w:val="20"/>
                <w:szCs w:val="20"/>
                <w:lang w:val="en-GB" w:eastAsia="en-GB"/>
                <w14:ligatures w14:val="none"/>
              </w:rPr>
              <w:t xml:space="preserve">of </w:t>
            </w:r>
            <w:r w:rsidRPr="00406720">
              <w:rPr>
                <w:rFonts w:eastAsia="Times New Roman" w:cstheme="minorHAnsi"/>
                <w:color w:val="000000"/>
                <w:kern w:val="0"/>
                <w:sz w:val="20"/>
                <w:szCs w:val="20"/>
                <w:lang w:val="en-GB" w:eastAsia="en-GB"/>
                <w14:ligatures w14:val="none"/>
              </w:rPr>
              <w:t>draft</w:t>
            </w:r>
            <w:r w:rsidR="00241BE4">
              <w:rPr>
                <w:rFonts w:eastAsia="Times New Roman" w:cstheme="minorHAnsi"/>
                <w:color w:val="000000"/>
                <w:kern w:val="0"/>
                <w:sz w:val="20"/>
                <w:szCs w:val="20"/>
                <w:lang w:val="en-GB" w:eastAsia="en-GB"/>
                <w14:ligatures w14:val="none"/>
              </w:rPr>
              <w:t xml:space="preserve"> laws</w:t>
            </w:r>
            <w:r w:rsidRPr="00406720">
              <w:rPr>
                <w:rFonts w:eastAsia="Times New Roman" w:cstheme="minorHAnsi"/>
                <w:color w:val="000000"/>
                <w:kern w:val="0"/>
                <w:sz w:val="20"/>
                <w:szCs w:val="20"/>
                <w:lang w:val="en-GB" w:eastAsia="en-GB"/>
                <w14:ligatures w14:val="none"/>
              </w:rPr>
              <w:t>.</w:t>
            </w:r>
          </w:p>
          <w:p w14:paraId="18513F10" w14:textId="77777777" w:rsidR="00406720" w:rsidRPr="00406720" w:rsidRDefault="00406720" w:rsidP="00406720">
            <w:pPr>
              <w:pStyle w:val="ListParagraph"/>
              <w:numPr>
                <w:ilvl w:val="0"/>
                <w:numId w:val="5"/>
              </w:numPr>
              <w:spacing w:before="120" w:after="12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sz w:val="20"/>
                <w:szCs w:val="20"/>
                <w:lang w:val="en-GB" w:eastAsia="en-GB"/>
                <w14:ligatures w14:val="none"/>
              </w:rPr>
            </w:pPr>
            <w:r w:rsidRPr="00406720">
              <w:rPr>
                <w:rFonts w:eastAsia="Times New Roman" w:cstheme="minorHAnsi"/>
                <w:color w:val="000000"/>
                <w:kern w:val="0"/>
                <w:sz w:val="20"/>
                <w:szCs w:val="20"/>
                <w:lang w:val="en-GB" w:eastAsia="en-GB"/>
                <w14:ligatures w14:val="none"/>
              </w:rPr>
              <w:t>Requesting the opinion of ODIHR (and, where appropriate, the Venice Commission) on the draft, by the WG or the public authority responsible for preparing the draft (e.g., ministry).</w:t>
            </w:r>
          </w:p>
          <w:p w14:paraId="7FED0414" w14:textId="77777777" w:rsidR="00406720" w:rsidRPr="00406720" w:rsidRDefault="00406720" w:rsidP="00406720">
            <w:pPr>
              <w:pStyle w:val="ListParagraph"/>
              <w:numPr>
                <w:ilvl w:val="0"/>
                <w:numId w:val="5"/>
              </w:numPr>
              <w:spacing w:before="120" w:after="12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sz w:val="20"/>
                <w:szCs w:val="20"/>
                <w:lang w:val="en-GB" w:eastAsia="en-GB"/>
                <w14:ligatures w14:val="none"/>
              </w:rPr>
            </w:pPr>
            <w:r w:rsidRPr="00406720">
              <w:rPr>
                <w:rFonts w:eastAsia="Times New Roman" w:cstheme="minorHAnsi"/>
                <w:color w:val="000000"/>
                <w:kern w:val="0"/>
                <w:sz w:val="20"/>
                <w:szCs w:val="20"/>
                <w:lang w:val="en-GB" w:eastAsia="en-GB"/>
                <w14:ligatures w14:val="none"/>
              </w:rPr>
              <w:t>Properly addressing additional comments from ODIHR and the Council of Europe (Venice Commission), by the WG or another newly established body.</w:t>
            </w:r>
          </w:p>
          <w:p w14:paraId="42C2671B" w14:textId="77777777" w:rsidR="00406720" w:rsidRPr="00406720" w:rsidRDefault="00406720" w:rsidP="00406720">
            <w:pPr>
              <w:pStyle w:val="ListParagraph"/>
              <w:numPr>
                <w:ilvl w:val="0"/>
                <w:numId w:val="5"/>
              </w:numPr>
              <w:spacing w:before="120" w:after="12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sz w:val="20"/>
                <w:szCs w:val="20"/>
                <w:lang w:val="en-GB" w:eastAsia="en-GB"/>
                <w14:ligatures w14:val="none"/>
              </w:rPr>
            </w:pPr>
            <w:r w:rsidRPr="00406720">
              <w:rPr>
                <w:rFonts w:eastAsia="Times New Roman" w:cstheme="minorHAnsi"/>
                <w:color w:val="000000"/>
                <w:kern w:val="0"/>
                <w:sz w:val="20"/>
                <w:szCs w:val="20"/>
                <w:lang w:val="en-GB" w:eastAsia="en-GB"/>
                <w14:ligatures w14:val="none"/>
              </w:rPr>
              <w:t>Adoption of laws or amendments by Parliament.</w:t>
            </w:r>
          </w:p>
          <w:p w14:paraId="0968BF1A" w14:textId="36FA49C1" w:rsidR="00406720" w:rsidRPr="00406720" w:rsidRDefault="00406720" w:rsidP="00406720">
            <w:pPr>
              <w:pStyle w:val="ListParagraph"/>
              <w:numPr>
                <w:ilvl w:val="0"/>
                <w:numId w:val="5"/>
              </w:numPr>
              <w:spacing w:before="120" w:after="12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sz w:val="20"/>
                <w:szCs w:val="20"/>
                <w:lang w:val="en-GB" w:eastAsia="en-GB"/>
                <w14:ligatures w14:val="none"/>
              </w:rPr>
            </w:pPr>
            <w:r w:rsidRPr="00406720">
              <w:rPr>
                <w:rFonts w:eastAsia="Times New Roman" w:cstheme="minorHAnsi"/>
                <w:color w:val="000000"/>
                <w:kern w:val="0"/>
                <w:sz w:val="20"/>
                <w:szCs w:val="20"/>
                <w:lang w:val="en-GB" w:eastAsia="en-GB"/>
                <w14:ligatures w14:val="none"/>
              </w:rPr>
              <w:t>Promulgation and publication in the Official Gazette.</w:t>
            </w:r>
          </w:p>
          <w:p w14:paraId="1DCF3804" w14:textId="77777777" w:rsidR="00406720" w:rsidRDefault="00406720" w:rsidP="00406720">
            <w:pPr>
              <w:pStyle w:val="ListParagraph"/>
              <w:spacing w:before="120" w:after="12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sz w:val="20"/>
                <w:szCs w:val="20"/>
                <w:lang w:val="en-GB" w:eastAsia="en-GB"/>
                <w14:ligatures w14:val="none"/>
              </w:rPr>
            </w:pPr>
          </w:p>
          <w:p w14:paraId="046F506D" w14:textId="40F7247F" w:rsidR="002E53F0" w:rsidRPr="00D6392C" w:rsidRDefault="002E53F0" w:rsidP="00900CE6">
            <w:pPr>
              <w:pStyle w:val="ListParagraph"/>
              <w:spacing w:before="120" w:after="12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sz w:val="20"/>
                <w:szCs w:val="20"/>
                <w:lang w:val="en-GB" w:eastAsia="en-GB"/>
                <w14:ligatures w14:val="none"/>
              </w:rPr>
            </w:pPr>
            <w:r w:rsidRPr="00D6392C">
              <w:rPr>
                <w:rFonts w:eastAsia="Times New Roman" w:cstheme="minorHAnsi"/>
                <w:color w:val="000000"/>
                <w:kern w:val="0"/>
                <w:sz w:val="20"/>
                <w:szCs w:val="20"/>
                <w:lang w:val="en-GB" w:eastAsia="en-GB"/>
                <w14:ligatures w14:val="none"/>
              </w:rPr>
              <w:t xml:space="preserve">  </w:t>
            </w:r>
          </w:p>
          <w:p w14:paraId="2B4A95A1" w14:textId="155115D4" w:rsidR="006F0041" w:rsidRPr="00D6392C" w:rsidRDefault="006F0041" w:rsidP="00900CE6">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6F0041" w:rsidRPr="00D6392C" w14:paraId="5277D33D"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293AA4F8" w14:textId="77777777" w:rsidR="006F0041" w:rsidRPr="006B48B6" w:rsidRDefault="006F0041" w:rsidP="00314DB3">
            <w:pPr>
              <w:spacing w:before="120" w:after="120"/>
              <w:rPr>
                <w:rFonts w:ascii="Aptos" w:eastAsia="Times New Roman" w:hAnsi="Aptos" w:cs="Times New Roman"/>
                <w:color w:val="FFFFFF" w:themeColor="background1"/>
                <w:kern w:val="0"/>
                <w:sz w:val="20"/>
                <w:szCs w:val="20"/>
                <w:lang w:val="en-GB" w:eastAsia="en-GB"/>
                <w14:ligatures w14:val="none"/>
              </w:rPr>
            </w:pPr>
            <w:r w:rsidRPr="006B48B6">
              <w:rPr>
                <w:rFonts w:ascii="Aptos" w:eastAsia="Times New Roman" w:hAnsi="Aptos" w:cs="Times New Roman"/>
                <w:color w:val="FFFFFF" w:themeColor="background1"/>
                <w:kern w:val="0"/>
                <w:sz w:val="20"/>
                <w:szCs w:val="20"/>
                <w:lang w:val="en-GB" w:eastAsia="en-GB"/>
                <w14:ligatures w14:val="none"/>
              </w:rPr>
              <w:lastRenderedPageBreak/>
              <w:t>Analyse achievement of each milestone</w:t>
            </w:r>
          </w:p>
        </w:tc>
        <w:tc>
          <w:tcPr>
            <w:tcW w:w="6753" w:type="dxa"/>
          </w:tcPr>
          <w:p w14:paraId="49D79888" w14:textId="77777777" w:rsidR="006F0041" w:rsidRPr="00D6392C"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D6392C">
              <w:rPr>
                <w:i/>
                <w:iCs/>
                <w:sz w:val="20"/>
                <w:szCs w:val="20"/>
                <w:lang w:val="en-GB"/>
              </w:rPr>
              <w:t>For each identified milestone, provide a succinct analysis of its implementation process. Use numbered points corresponding to the defined milestones above. Please provide references wherever possible.</w:t>
            </w:r>
          </w:p>
          <w:p w14:paraId="6C490E5F" w14:textId="69683C2E" w:rsidR="00955328" w:rsidRPr="00D6392C" w:rsidRDefault="00955328" w:rsidP="00314DB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D6392C">
              <w:rPr>
                <w:sz w:val="20"/>
                <w:szCs w:val="20"/>
                <w:lang w:val="en-GB"/>
              </w:rPr>
              <w:t>For all milestones:</w:t>
            </w:r>
          </w:p>
          <w:p w14:paraId="5C799FD0" w14:textId="24410DB7" w:rsidR="00955328" w:rsidRPr="00D6392C" w:rsidRDefault="001104DD" w:rsidP="001104DD">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1104DD">
              <w:rPr>
                <w:sz w:val="20"/>
                <w:szCs w:val="20"/>
              </w:rPr>
              <w:t xml:space="preserve">The WG has been dysfunctional since February 2025, following the withdrawal of five members nominated by opposition parties and three members nominated by civil society </w:t>
            </w:r>
            <w:proofErr w:type="spellStart"/>
            <w:r w:rsidRPr="001104DD">
              <w:rPr>
                <w:sz w:val="20"/>
                <w:szCs w:val="20"/>
              </w:rPr>
              <w:t>organisations</w:t>
            </w:r>
            <w:proofErr w:type="spellEnd"/>
            <w:r w:rsidRPr="001104DD">
              <w:rPr>
                <w:sz w:val="20"/>
                <w:szCs w:val="20"/>
              </w:rPr>
              <w:t>.</w:t>
            </w:r>
            <w:r w:rsidR="00955328" w:rsidRPr="00D6392C">
              <w:rPr>
                <w:sz w:val="20"/>
                <w:szCs w:val="20"/>
                <w:lang w:val="en-GB"/>
              </w:rPr>
              <w:t xml:space="preserve"> There was no attempt to change </w:t>
            </w:r>
            <w:r w:rsidR="007F4034">
              <w:rPr>
                <w:sz w:val="20"/>
                <w:szCs w:val="20"/>
                <w:lang w:val="en-GB"/>
              </w:rPr>
              <w:t xml:space="preserve">the </w:t>
            </w:r>
            <w:r w:rsidR="00955328" w:rsidRPr="00D6392C">
              <w:rPr>
                <w:sz w:val="20"/>
                <w:szCs w:val="20"/>
                <w:lang w:val="en-GB"/>
              </w:rPr>
              <w:t xml:space="preserve">composition of the WG, to establish </w:t>
            </w:r>
            <w:r w:rsidR="007F4034">
              <w:rPr>
                <w:sz w:val="20"/>
                <w:szCs w:val="20"/>
                <w:lang w:val="en-GB"/>
              </w:rPr>
              <w:t>an</w:t>
            </w:r>
            <w:r w:rsidR="00955328" w:rsidRPr="00D6392C">
              <w:rPr>
                <w:sz w:val="20"/>
                <w:szCs w:val="20"/>
                <w:lang w:val="en-GB"/>
              </w:rPr>
              <w:t xml:space="preserve">other body with similar tasks or to assign tasks of the WG to the competent ministries. </w:t>
            </w:r>
          </w:p>
          <w:p w14:paraId="27F415D4" w14:textId="77777777" w:rsidR="00D50C70" w:rsidRPr="00D50C70" w:rsidRDefault="00D50C70" w:rsidP="00D50C70">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D50C70">
              <w:rPr>
                <w:sz w:val="20"/>
                <w:szCs w:val="20"/>
              </w:rPr>
              <w:t>No effort was made to identify the ODIHR and Council of Europe key recommendations. According to the WG’s mandate, as defined in the decision on its establishment and subsequent revised decisions</w:t>
            </w:r>
            <w:r w:rsidR="00D532F3">
              <w:rPr>
                <w:rStyle w:val="FootnoteReference"/>
                <w:sz w:val="20"/>
                <w:szCs w:val="20"/>
                <w:lang w:val="en-GB"/>
              </w:rPr>
              <w:footnoteReference w:id="1"/>
            </w:r>
            <w:r w:rsidR="00900CE6" w:rsidRPr="00D6392C">
              <w:rPr>
                <w:sz w:val="20"/>
                <w:szCs w:val="20"/>
                <w:lang w:val="en-GB"/>
              </w:rPr>
              <w:t xml:space="preserve">, </w:t>
            </w:r>
            <w:r w:rsidRPr="00D50C70">
              <w:rPr>
                <w:sz w:val="20"/>
                <w:szCs w:val="20"/>
              </w:rPr>
              <w:t>its task was to prepare draft laws addressing all (not only “key”) ODIHR recommendations, stemming from various election observation missions, including the 2024 local elections. That mandate contained no reference to Council of Europe recommendations.</w:t>
            </w:r>
          </w:p>
          <w:p w14:paraId="47D80275" w14:textId="351AF7B8" w:rsidR="00900CE6" w:rsidRPr="00D6392C" w:rsidRDefault="00651613" w:rsidP="00D50C70">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D6392C">
              <w:rPr>
                <w:sz w:val="20"/>
                <w:szCs w:val="20"/>
                <w:lang w:val="en-GB"/>
              </w:rPr>
              <w:t>WG, within the scope of their work prepared (</w:t>
            </w:r>
            <w:r w:rsidR="00777EE1" w:rsidRPr="00D6392C">
              <w:rPr>
                <w:sz w:val="20"/>
                <w:szCs w:val="20"/>
                <w:lang w:val="en-GB"/>
              </w:rPr>
              <w:t xml:space="preserve">an </w:t>
            </w:r>
            <w:r w:rsidRPr="00D6392C">
              <w:rPr>
                <w:sz w:val="20"/>
                <w:szCs w:val="20"/>
                <w:lang w:val="en-GB"/>
              </w:rPr>
              <w:t>informal) working paper</w:t>
            </w:r>
            <w:r w:rsidR="00386370">
              <w:rPr>
                <w:rStyle w:val="FootnoteReference"/>
                <w:sz w:val="20"/>
                <w:szCs w:val="20"/>
                <w:lang w:val="en-GB"/>
              </w:rPr>
              <w:footnoteReference w:id="2"/>
            </w:r>
            <w:r w:rsidRPr="00D6392C">
              <w:rPr>
                <w:sz w:val="20"/>
                <w:szCs w:val="20"/>
                <w:lang w:val="en-GB"/>
              </w:rPr>
              <w:t>, based on members’ inputs</w:t>
            </w:r>
            <w:r w:rsidR="00C54599">
              <w:rPr>
                <w:sz w:val="20"/>
                <w:szCs w:val="20"/>
                <w:lang w:val="en-GB"/>
              </w:rPr>
              <w:t>.</w:t>
            </w:r>
            <w:r w:rsidR="00D50C70" w:rsidRPr="00D50C70">
              <w:t xml:space="preserve"> </w:t>
            </w:r>
            <w:r w:rsidR="00D50C70" w:rsidRPr="00D50C70">
              <w:rPr>
                <w:sz w:val="20"/>
                <w:szCs w:val="20"/>
              </w:rPr>
              <w:t>The paper listed: a) all ODIHR recommendations (with the December 2023 election report as the most recent) that were not considered fully addressed; b) the identification of one or more laws that needed to be amended in order to address each recommendation; c) the identification of practical measures that could be undertaken by public authorities to implement the recommendations.</w:t>
            </w:r>
          </w:p>
          <w:p w14:paraId="44D131E5" w14:textId="7FB2EF25" w:rsidR="00777EE1" w:rsidRPr="00D6392C" w:rsidRDefault="00D50C70" w:rsidP="00D50C70">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D50C70">
              <w:rPr>
                <w:sz w:val="20"/>
                <w:szCs w:val="20"/>
              </w:rPr>
              <w:lastRenderedPageBreak/>
              <w:t xml:space="preserve">During its work, particularly in the first month (May 2024), WG members from civil society </w:t>
            </w:r>
            <w:proofErr w:type="spellStart"/>
            <w:r w:rsidRPr="00D50C70">
              <w:rPr>
                <w:sz w:val="20"/>
                <w:szCs w:val="20"/>
              </w:rPr>
              <w:t>organisations</w:t>
            </w:r>
            <w:proofErr w:type="spellEnd"/>
            <w:r w:rsidRPr="00D50C70">
              <w:rPr>
                <w:sz w:val="20"/>
                <w:szCs w:val="20"/>
              </w:rPr>
              <w:t xml:space="preserve"> prepared several recommendations for the competent authorities regarding practical measures to address certain deficiencies in the electoral process. For example, they proposed that the Public Prosecution Office should inform citizens about types of criminal offences related to elections and provide contact information for the relevant prosecution offices. Representatives of the ruling parties’ parliamentary groups within the WG were unwilling to vote on any of these proposals, either in </w:t>
            </w:r>
            <w:proofErr w:type="spellStart"/>
            <w:r w:rsidRPr="00D50C70">
              <w:rPr>
                <w:sz w:val="20"/>
                <w:szCs w:val="20"/>
              </w:rPr>
              <w:t>favour</w:t>
            </w:r>
            <w:proofErr w:type="spellEnd"/>
            <w:r w:rsidRPr="00D50C70">
              <w:rPr>
                <w:sz w:val="20"/>
                <w:szCs w:val="20"/>
              </w:rPr>
              <w:t xml:space="preserve"> or against. As a result, the WG lacked a quorum for decision-making.</w:t>
            </w:r>
            <w:r w:rsidR="00386370">
              <w:rPr>
                <w:rStyle w:val="FootnoteReference"/>
                <w:sz w:val="20"/>
                <w:szCs w:val="20"/>
                <w:lang w:val="en-GB"/>
              </w:rPr>
              <w:footnoteReference w:id="3"/>
            </w:r>
            <w:r w:rsidR="00777EE1" w:rsidRPr="00D6392C">
              <w:rPr>
                <w:sz w:val="20"/>
                <w:szCs w:val="20"/>
                <w:lang w:val="en-GB"/>
              </w:rPr>
              <w:t xml:space="preserve">. </w:t>
            </w:r>
          </w:p>
          <w:p w14:paraId="43DE8572" w14:textId="456D0B92" w:rsidR="00955328" w:rsidRPr="00D6392C" w:rsidRDefault="00D50C70" w:rsidP="00D50C70">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D50C70">
              <w:rPr>
                <w:sz w:val="20"/>
                <w:szCs w:val="20"/>
              </w:rPr>
              <w:t xml:space="preserve">During its work in 2024, the WG did not reach the required two-thirds majority to propose any draft law. Such voting was </w:t>
            </w:r>
            <w:proofErr w:type="spellStart"/>
            <w:r w:rsidRPr="00D50C70">
              <w:rPr>
                <w:sz w:val="20"/>
                <w:szCs w:val="20"/>
              </w:rPr>
              <w:t>organised</w:t>
            </w:r>
            <w:proofErr w:type="spellEnd"/>
            <w:r w:rsidRPr="00D50C70">
              <w:rPr>
                <w:sz w:val="20"/>
                <w:szCs w:val="20"/>
              </w:rPr>
              <w:t xml:space="preserve"> only for two competitive proposals aimed at enabling an audit of the Voter Register</w:t>
            </w:r>
            <w:r w:rsidR="00386370">
              <w:rPr>
                <w:rStyle w:val="FootnoteReference"/>
                <w:sz w:val="20"/>
                <w:szCs w:val="20"/>
                <w:lang w:val="en-GB"/>
              </w:rPr>
              <w:footnoteReference w:id="4"/>
            </w:r>
            <w:r w:rsidR="0095387A" w:rsidRPr="00D6392C">
              <w:rPr>
                <w:sz w:val="20"/>
                <w:szCs w:val="20"/>
                <w:lang w:val="en-GB"/>
              </w:rPr>
              <w:t xml:space="preserve">. </w:t>
            </w:r>
            <w:r w:rsidRPr="00D50C70">
              <w:rPr>
                <w:sz w:val="20"/>
                <w:szCs w:val="20"/>
              </w:rPr>
              <w:t xml:space="preserve">Individual WG members from civil society </w:t>
            </w:r>
            <w:proofErr w:type="spellStart"/>
            <w:r w:rsidRPr="00D50C70">
              <w:rPr>
                <w:sz w:val="20"/>
                <w:szCs w:val="20"/>
              </w:rPr>
              <w:t>organisations</w:t>
            </w:r>
            <w:proofErr w:type="spellEnd"/>
            <w:r w:rsidRPr="00D50C70">
              <w:rPr>
                <w:sz w:val="20"/>
                <w:szCs w:val="20"/>
              </w:rPr>
              <w:t xml:space="preserve"> and opposition parliamentary groups proposed amendments to several other laws, including the Law on </w:t>
            </w:r>
            <w:r w:rsidR="007769C3">
              <w:rPr>
                <w:sz w:val="20"/>
                <w:szCs w:val="20"/>
              </w:rPr>
              <w:t xml:space="preserve">the </w:t>
            </w:r>
            <w:r w:rsidRPr="00D50C70">
              <w:rPr>
                <w:sz w:val="20"/>
                <w:szCs w:val="20"/>
              </w:rPr>
              <w:t>Prevention of Corruption, the Law on Financing of Political Activities, the Law on National and Local Elections, legislation on electronic media, and the Criminal Code. A representative of the ruling party (SNS) formally proposed amendments previously prepared and published in March 2024 by the Governmental Working Group for Cooperation with OSCE and ODIHR (listed in the “indicative list” of the reform steps), as well as amendments to the Law on Prevention of Corruption (partly reflecting the Transparency Serbia proposal)</w:t>
            </w:r>
            <w:r w:rsidR="00386370">
              <w:rPr>
                <w:rStyle w:val="FootnoteReference"/>
                <w:sz w:val="20"/>
                <w:szCs w:val="20"/>
                <w:lang w:val="en-GB"/>
              </w:rPr>
              <w:footnoteReference w:id="5"/>
            </w:r>
            <w:r w:rsidR="0095387A" w:rsidRPr="00D6392C">
              <w:rPr>
                <w:sz w:val="20"/>
                <w:szCs w:val="20"/>
                <w:lang w:val="en-GB"/>
              </w:rPr>
              <w:t>.</w:t>
            </w:r>
            <w:r w:rsidR="00F11400" w:rsidRPr="00D6392C">
              <w:rPr>
                <w:sz w:val="20"/>
                <w:szCs w:val="20"/>
                <w:lang w:val="en-GB"/>
              </w:rPr>
              <w:t xml:space="preserve"> In 2025 and 2026 SNS representative in (former) WG proposed several new iterations of the amendments to the Law on United Voter Register</w:t>
            </w:r>
            <w:r w:rsidR="00386370">
              <w:rPr>
                <w:rStyle w:val="FootnoteReference"/>
                <w:sz w:val="20"/>
                <w:szCs w:val="20"/>
                <w:lang w:val="en-GB"/>
              </w:rPr>
              <w:footnoteReference w:id="6"/>
            </w:r>
            <w:r w:rsidR="00F11400" w:rsidRPr="00D6392C">
              <w:rPr>
                <w:sz w:val="20"/>
                <w:szCs w:val="20"/>
                <w:lang w:val="en-GB"/>
              </w:rPr>
              <w:t xml:space="preserve">. </w:t>
            </w:r>
            <w:r w:rsidRPr="00D50C70">
              <w:rPr>
                <w:sz w:val="20"/>
                <w:szCs w:val="20"/>
              </w:rPr>
              <w:t xml:space="preserve">On 2 February 2026, the Secretary of Parliament shared with former WG members </w:t>
            </w:r>
            <w:r w:rsidR="001C1CAA">
              <w:rPr>
                <w:sz w:val="20"/>
                <w:szCs w:val="20"/>
              </w:rPr>
              <w:t xml:space="preserve">the </w:t>
            </w:r>
            <w:r w:rsidR="003736BA" w:rsidRPr="00D50C70">
              <w:rPr>
                <w:sz w:val="20"/>
                <w:szCs w:val="20"/>
              </w:rPr>
              <w:t xml:space="preserve">draft amendments </w:t>
            </w:r>
            <w:r w:rsidRPr="00D50C70">
              <w:rPr>
                <w:sz w:val="20"/>
                <w:szCs w:val="20"/>
              </w:rPr>
              <w:t>to the Law on Election of Members of Parliament, the Law on Local Elections, and the Law on the Constitutional Court, “prepared by the expert service of the Parliament”. Similarly, on 12 March 2026, he shared revised versions of these drafts, as well as draft amendments to the Law on Financing of Political Activities, “prepared by the Agency for Prevention of Corruption”</w:t>
            </w:r>
            <w:r w:rsidR="00376A04">
              <w:rPr>
                <w:rStyle w:val="FootnoteReference"/>
                <w:sz w:val="20"/>
                <w:szCs w:val="20"/>
                <w:lang w:val="en-GB"/>
              </w:rPr>
              <w:footnoteReference w:id="7"/>
            </w:r>
            <w:r w:rsidR="008B300A" w:rsidRPr="00D6392C">
              <w:rPr>
                <w:sz w:val="20"/>
                <w:szCs w:val="20"/>
                <w:lang w:val="en-GB"/>
              </w:rPr>
              <w:t xml:space="preserve">. </w:t>
            </w:r>
            <w:r w:rsidR="00F11400" w:rsidRPr="00D6392C">
              <w:rPr>
                <w:sz w:val="20"/>
                <w:szCs w:val="20"/>
                <w:lang w:val="en-GB"/>
              </w:rPr>
              <w:t xml:space="preserve"> </w:t>
            </w:r>
            <w:r w:rsidR="0095387A" w:rsidRPr="00D6392C">
              <w:rPr>
                <w:sz w:val="20"/>
                <w:szCs w:val="20"/>
                <w:lang w:val="en-GB"/>
              </w:rPr>
              <w:t xml:space="preserve">  </w:t>
            </w:r>
          </w:p>
          <w:p w14:paraId="78E7BBCE" w14:textId="2CB8814E" w:rsidR="008B300A" w:rsidRPr="00D6392C" w:rsidRDefault="00D50C70" w:rsidP="00D50C70">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D50C70">
              <w:rPr>
                <w:sz w:val="20"/>
                <w:szCs w:val="20"/>
              </w:rPr>
              <w:t xml:space="preserve">No public debate was </w:t>
            </w:r>
            <w:proofErr w:type="spellStart"/>
            <w:r w:rsidRPr="00D50C70">
              <w:rPr>
                <w:sz w:val="20"/>
                <w:szCs w:val="20"/>
              </w:rPr>
              <w:t>organised</w:t>
            </w:r>
            <w:proofErr w:type="spellEnd"/>
            <w:r w:rsidRPr="00D50C70">
              <w:rPr>
                <w:sz w:val="20"/>
                <w:szCs w:val="20"/>
              </w:rPr>
              <w:t>. The Parliamentary Committee for Constitutional Affairs and Legislature held several public hearings on various versions of amendments to the Law on the United Voter Register in 2025</w:t>
            </w:r>
            <w:r w:rsidR="00376A04">
              <w:rPr>
                <w:rStyle w:val="FootnoteReference"/>
                <w:sz w:val="20"/>
                <w:szCs w:val="20"/>
                <w:lang w:val="en-GB"/>
              </w:rPr>
              <w:footnoteReference w:id="8"/>
            </w:r>
            <w:r w:rsidR="008B300A" w:rsidRPr="00D6392C">
              <w:rPr>
                <w:sz w:val="20"/>
                <w:szCs w:val="20"/>
                <w:lang w:val="en-GB"/>
              </w:rPr>
              <w:t xml:space="preserve">.  </w:t>
            </w:r>
          </w:p>
          <w:p w14:paraId="00CC8FAB" w14:textId="24E570A4" w:rsidR="008B300A" w:rsidRPr="00834E31" w:rsidRDefault="00D50C70" w:rsidP="00D50C70">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834E31">
              <w:rPr>
                <w:sz w:val="20"/>
                <w:szCs w:val="20"/>
              </w:rPr>
              <w:lastRenderedPageBreak/>
              <w:t xml:space="preserve">ODIHR provided its opinion on two laws (each with two versions) prepared within the WG: the Law on Prevention of Corruption and the Law on the United Voter Register. ODIHR also issued opinions, at the request of Parliament, on several subsequent iterations of the Law on the United Voter Register submitted to the Parliamentary Committee for Constitutional Affairs by SNS MP </w:t>
            </w:r>
            <w:proofErr w:type="spellStart"/>
            <w:r w:rsidRPr="00834E31">
              <w:rPr>
                <w:sz w:val="20"/>
                <w:szCs w:val="20"/>
              </w:rPr>
              <w:t>Ugljesa</w:t>
            </w:r>
            <w:proofErr w:type="spellEnd"/>
            <w:r w:rsidRPr="00834E31">
              <w:rPr>
                <w:sz w:val="20"/>
                <w:szCs w:val="20"/>
              </w:rPr>
              <w:t xml:space="preserve"> Mrdic</w:t>
            </w:r>
            <w:r w:rsidR="00376A04" w:rsidRPr="00834E31">
              <w:rPr>
                <w:rStyle w:val="FootnoteReference"/>
                <w:sz w:val="20"/>
                <w:szCs w:val="20"/>
                <w:lang w:val="en-GB"/>
              </w:rPr>
              <w:footnoteReference w:id="9"/>
            </w:r>
            <w:r w:rsidR="00D6392C" w:rsidRPr="00834E31">
              <w:rPr>
                <w:sz w:val="20"/>
                <w:szCs w:val="20"/>
                <w:lang w:val="en-GB"/>
              </w:rPr>
              <w:t xml:space="preserve">. </w:t>
            </w:r>
            <w:r w:rsidRPr="00834E31">
              <w:rPr>
                <w:sz w:val="20"/>
                <w:szCs w:val="20"/>
              </w:rPr>
              <w:t>Finally, ODIHR provided opinions on three drafts upon Parliament’s request in February 2026</w:t>
            </w:r>
            <w:r w:rsidR="00376A04" w:rsidRPr="00834E31">
              <w:rPr>
                <w:rStyle w:val="FootnoteReference"/>
                <w:sz w:val="20"/>
                <w:szCs w:val="20"/>
                <w:lang w:val="en-GB"/>
              </w:rPr>
              <w:footnoteReference w:id="10"/>
            </w:r>
            <w:r w:rsidR="00D6392C" w:rsidRPr="00834E31">
              <w:rPr>
                <w:sz w:val="20"/>
                <w:szCs w:val="20"/>
                <w:lang w:val="en-GB"/>
              </w:rPr>
              <w:t xml:space="preserve">. </w:t>
            </w:r>
            <w:r w:rsidR="008B300A" w:rsidRPr="00834E31">
              <w:rPr>
                <w:sz w:val="20"/>
                <w:szCs w:val="20"/>
                <w:lang w:val="en-GB"/>
              </w:rPr>
              <w:t xml:space="preserve"> </w:t>
            </w:r>
          </w:p>
          <w:p w14:paraId="0FFB0DD2" w14:textId="321CC62D" w:rsidR="001A676C" w:rsidRPr="001A676C" w:rsidRDefault="001A676C" w:rsidP="001A676C">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1A676C">
              <w:rPr>
                <w:sz w:val="20"/>
                <w:szCs w:val="20"/>
              </w:rPr>
              <w:t xml:space="preserve">ODIHR recommendations arising from its opinions on draft laws were only partially addressed in the Law on the United Voter Register, and </w:t>
            </w:r>
            <w:r w:rsidR="00DC2D3F">
              <w:rPr>
                <w:sz w:val="20"/>
                <w:szCs w:val="20"/>
              </w:rPr>
              <w:t xml:space="preserve">the </w:t>
            </w:r>
            <w:r w:rsidRPr="001A676C">
              <w:rPr>
                <w:sz w:val="20"/>
                <w:szCs w:val="20"/>
              </w:rPr>
              <w:t>Parliament did not request an opinion on the final version. Recommendations relating to the Law on Prevention of Corruption were not addressed during the WG’s work in 2024.</w:t>
            </w:r>
          </w:p>
          <w:p w14:paraId="55B0BC03" w14:textId="6EA2F0FF" w:rsidR="00D6392C" w:rsidRPr="00D6392C" w:rsidRDefault="001A676C" w:rsidP="001A676C">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1A676C">
              <w:rPr>
                <w:sz w:val="20"/>
                <w:szCs w:val="20"/>
              </w:rPr>
              <w:t>No other law, apart from the amendments to the Law on the United Voter Register</w:t>
            </w:r>
            <w:r w:rsidR="00376A04">
              <w:rPr>
                <w:rStyle w:val="FootnoteReference"/>
                <w:sz w:val="20"/>
                <w:szCs w:val="20"/>
                <w:lang w:val="en-GB"/>
              </w:rPr>
              <w:footnoteReference w:id="11"/>
            </w:r>
            <w:r w:rsidR="00D6392C" w:rsidRPr="00D6392C">
              <w:rPr>
                <w:sz w:val="20"/>
                <w:szCs w:val="20"/>
                <w:lang w:val="en-GB"/>
              </w:rPr>
              <w:t xml:space="preserve"> was amended.</w:t>
            </w:r>
          </w:p>
          <w:p w14:paraId="3159E99A" w14:textId="3ACD8E27" w:rsidR="00D6392C" w:rsidRPr="00D6392C" w:rsidRDefault="00D6392C" w:rsidP="00900CE6">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D6392C">
              <w:rPr>
                <w:sz w:val="20"/>
                <w:szCs w:val="20"/>
                <w:lang w:val="en-GB"/>
              </w:rPr>
              <w:t xml:space="preserve">See </w:t>
            </w:r>
            <w:r w:rsidR="00376A04">
              <w:rPr>
                <w:sz w:val="20"/>
                <w:szCs w:val="20"/>
                <w:lang w:val="en-GB"/>
              </w:rPr>
              <w:t>point 8.</w:t>
            </w:r>
          </w:p>
          <w:p w14:paraId="1BD84265" w14:textId="4DCB7992" w:rsidR="006F0041" w:rsidRPr="00D6392C" w:rsidRDefault="006F0041" w:rsidP="00900CE6">
            <w:pPr>
              <w:pStyle w:val="ListParagraph"/>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6F0041" w:rsidRPr="00D6392C" w14:paraId="5B890CEE"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59EFADFD" w14:textId="77777777" w:rsidR="006F0041" w:rsidRPr="006B48B6" w:rsidRDefault="006F0041" w:rsidP="00314DB3">
            <w:pPr>
              <w:spacing w:before="120" w:after="120"/>
              <w:rPr>
                <w:rFonts w:ascii="Aptos" w:eastAsia="Times New Roman" w:hAnsi="Aptos" w:cs="Times New Roman"/>
                <w:color w:val="FFFFFF" w:themeColor="background1"/>
                <w:kern w:val="0"/>
                <w:sz w:val="20"/>
                <w:szCs w:val="20"/>
                <w:lang w:val="en-GB" w:eastAsia="en-GB"/>
                <w14:ligatures w14:val="none"/>
              </w:rPr>
            </w:pPr>
            <w:r w:rsidRPr="006B48B6">
              <w:rPr>
                <w:rFonts w:ascii="Aptos" w:eastAsia="Times New Roman" w:hAnsi="Aptos" w:cs="Times New Roman"/>
                <w:color w:val="FFFFFF" w:themeColor="background1"/>
                <w:kern w:val="0"/>
                <w:sz w:val="20"/>
                <w:szCs w:val="20"/>
                <w:lang w:val="en-GB" w:eastAsia="en-GB"/>
                <w14:ligatures w14:val="none"/>
              </w:rPr>
              <w:lastRenderedPageBreak/>
              <w:t>Key issues in implementation</w:t>
            </w:r>
          </w:p>
        </w:tc>
        <w:tc>
          <w:tcPr>
            <w:tcW w:w="6753" w:type="dxa"/>
          </w:tcPr>
          <w:p w14:paraId="5AF2B327" w14:textId="77777777" w:rsidR="006F0041" w:rsidRPr="00D6392C"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D6392C">
              <w:rPr>
                <w:i/>
                <w:iCs/>
                <w:sz w:val="20"/>
                <w:szCs w:val="20"/>
                <w:lang w:val="en-GB"/>
              </w:rPr>
              <w:t>List and briefly explain key problems/issues arising in the reform step implementation. This can follow the milestone structure, but depending on the reform step, it can also be an analysis for the whole step. Please provide references wherever possible.</w:t>
            </w:r>
          </w:p>
          <w:p w14:paraId="7D6509CD" w14:textId="58683873" w:rsidR="007D4B43" w:rsidRPr="00610583" w:rsidRDefault="00610583" w:rsidP="0061058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sr-Latn-RS"/>
              </w:rPr>
            </w:pPr>
            <w:r w:rsidRPr="00610583">
              <w:rPr>
                <w:sz w:val="20"/>
                <w:szCs w:val="20"/>
              </w:rPr>
              <w:t>The reform step itself is not sufficiently clearly defined. ODIHR reports, following the observation of each election, distinguish between “priority” and “other” recommendations.</w:t>
            </w:r>
            <w:r w:rsidR="00442E42">
              <w:rPr>
                <w:rStyle w:val="FootnoteReference"/>
                <w:sz w:val="20"/>
                <w:szCs w:val="20"/>
                <w:lang w:val="en-GB"/>
              </w:rPr>
              <w:footnoteReference w:id="12"/>
            </w:r>
            <w:r w:rsidR="00442E42">
              <w:rPr>
                <w:sz w:val="20"/>
                <w:szCs w:val="20"/>
                <w:lang w:val="en-GB"/>
              </w:rPr>
              <w:t xml:space="preserve">. </w:t>
            </w:r>
            <w:r w:rsidRPr="00610583">
              <w:rPr>
                <w:sz w:val="20"/>
                <w:szCs w:val="20"/>
              </w:rPr>
              <w:t>On the other hand, the Council of Europe expert body, the Venice Commission, published a joint opinion for Serbia in 2022, in which seven recommendations were identified as “key” and labelled from A to G</w:t>
            </w:r>
            <w:r w:rsidR="007D4B43">
              <w:rPr>
                <w:rStyle w:val="FootnoteReference"/>
                <w:sz w:val="20"/>
                <w:szCs w:val="20"/>
                <w:lang w:val="en-GB"/>
              </w:rPr>
              <w:footnoteReference w:id="13"/>
            </w:r>
            <w:r w:rsidR="00442E42">
              <w:rPr>
                <w:sz w:val="20"/>
                <w:szCs w:val="20"/>
                <w:lang w:val="en-GB"/>
              </w:rPr>
              <w:t>.</w:t>
            </w:r>
          </w:p>
          <w:p w14:paraId="517DE5E8" w14:textId="5AC64F2A" w:rsidR="00610583" w:rsidRDefault="00610583" w:rsidP="00610583">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610583">
              <w:rPr>
                <w:sz w:val="20"/>
                <w:szCs w:val="20"/>
              </w:rPr>
              <w:t>The Working Group, responsible for implementing this reform step, was not functional during 2025 and 2026 and encountered numerous difficulties in its work, including polarization among stakeholders, lack of initiative, insufficient recognition of problems highlighted by ODIHR and the Venice Commission within ruling party coalitions, a complex decision-making process, and limited cooperation from other institutions</w:t>
            </w:r>
            <w:r w:rsidR="00890D34">
              <w:rPr>
                <w:sz w:val="20"/>
                <w:szCs w:val="20"/>
              </w:rPr>
              <w:t>.</w:t>
            </w:r>
            <w:r w:rsidRPr="00610583">
              <w:rPr>
                <w:sz w:val="20"/>
                <w:szCs w:val="20"/>
                <w:lang w:val="sr-Latn-RS"/>
              </w:rPr>
              <w:t xml:space="preserve"> </w:t>
            </w:r>
            <w:r w:rsidRPr="00610583">
              <w:rPr>
                <w:sz w:val="20"/>
                <w:szCs w:val="20"/>
              </w:rPr>
              <w:t>Legislative reform activities in 2025 and 2026 were largely undertaken by the Parliamentary Service, several MPs, or parliamentary committees, with subsequent attempts to link these activities to the (former) WG</w:t>
            </w:r>
            <w:r>
              <w:rPr>
                <w:sz w:val="20"/>
                <w:szCs w:val="20"/>
              </w:rPr>
              <w:t xml:space="preserve">. </w:t>
            </w:r>
            <w:r w:rsidRPr="00610583">
              <w:rPr>
                <w:sz w:val="20"/>
                <w:szCs w:val="20"/>
              </w:rPr>
              <w:t xml:space="preserve">It is further evident that the Parliamentary Expert Service is not </w:t>
            </w:r>
            <w:proofErr w:type="spellStart"/>
            <w:r w:rsidRPr="00610583">
              <w:rPr>
                <w:sz w:val="20"/>
                <w:szCs w:val="20"/>
              </w:rPr>
              <w:t>authorised</w:t>
            </w:r>
            <w:proofErr w:type="spellEnd"/>
            <w:r w:rsidRPr="00610583">
              <w:rPr>
                <w:sz w:val="20"/>
                <w:szCs w:val="20"/>
              </w:rPr>
              <w:t xml:space="preserve"> to prepare draft legislation</w:t>
            </w:r>
            <w:r>
              <w:rPr>
                <w:sz w:val="20"/>
                <w:szCs w:val="20"/>
              </w:rPr>
              <w:t>.</w:t>
            </w:r>
          </w:p>
          <w:p w14:paraId="2BCFBCC1" w14:textId="7BC82697" w:rsidR="006F0041" w:rsidRPr="00610583" w:rsidRDefault="00610583" w:rsidP="0061058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610583">
              <w:rPr>
                <w:sz w:val="20"/>
                <w:szCs w:val="20"/>
              </w:rPr>
              <w:t xml:space="preserve">The primary factor obstructing the implementation of the reform step is the lack of trust that the Government or ruling coalition is genuinely committed to addressing key recommendations concerning the prevention of pressure on voters and the misuse of public resources, which are considered by other stakeholders in the country to be among the most critical issues¹. Beyond the </w:t>
            </w:r>
            <w:r w:rsidRPr="00610583">
              <w:rPr>
                <w:sz w:val="20"/>
                <w:szCs w:val="20"/>
              </w:rPr>
              <w:lastRenderedPageBreak/>
              <w:t>absence of legislative initiatives, this lack of commitment is further evidenced by the recurrence or amplification of problematic practices previously highlighted by ODIHR during the local election campaigns of 2025 and 2026</w:t>
            </w:r>
            <w:r>
              <w:rPr>
                <w:sz w:val="20"/>
                <w:szCs w:val="20"/>
              </w:rPr>
              <w:t>.</w:t>
            </w:r>
            <w:r w:rsidR="007D4B43">
              <w:rPr>
                <w:sz w:val="20"/>
                <w:szCs w:val="20"/>
                <w:lang w:val="en-GB"/>
              </w:rPr>
              <w:t xml:space="preserve">  </w:t>
            </w:r>
            <w:r w:rsidR="00442E42">
              <w:rPr>
                <w:sz w:val="20"/>
                <w:szCs w:val="20"/>
                <w:lang w:val="en-GB"/>
              </w:rPr>
              <w:t xml:space="preserve">   </w:t>
            </w:r>
          </w:p>
        </w:tc>
      </w:tr>
      <w:tr w:rsidR="006F0041" w:rsidRPr="00D6392C" w14:paraId="5686E317"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33C1F7FA" w14:textId="77777777" w:rsidR="006F0041" w:rsidRPr="006B48B6" w:rsidRDefault="006F0041" w:rsidP="00314DB3">
            <w:pPr>
              <w:spacing w:before="120" w:after="120"/>
              <w:rPr>
                <w:rFonts w:ascii="Aptos" w:eastAsia="Times New Roman" w:hAnsi="Aptos" w:cs="Times New Roman"/>
                <w:color w:val="FFFFFF" w:themeColor="background1"/>
                <w:kern w:val="0"/>
                <w:sz w:val="20"/>
                <w:szCs w:val="20"/>
                <w:lang w:val="en-GB" w:eastAsia="en-GB"/>
                <w14:ligatures w14:val="none"/>
              </w:rPr>
            </w:pPr>
            <w:r w:rsidRPr="006B48B6">
              <w:rPr>
                <w:rFonts w:ascii="Aptos" w:eastAsia="Times New Roman" w:hAnsi="Aptos" w:cs="Times New Roman"/>
                <w:color w:val="FFFFFF" w:themeColor="background1"/>
                <w:kern w:val="0"/>
                <w:sz w:val="20"/>
                <w:szCs w:val="20"/>
                <w:lang w:val="en-GB" w:eastAsia="en-GB"/>
                <w14:ligatures w14:val="none"/>
              </w:rPr>
              <w:lastRenderedPageBreak/>
              <w:t>Analyse how key principles of RGF were respected in the reform step implementation</w:t>
            </w:r>
          </w:p>
        </w:tc>
        <w:tc>
          <w:tcPr>
            <w:tcW w:w="6753" w:type="dxa"/>
          </w:tcPr>
          <w:p w14:paraId="335312C7" w14:textId="77777777" w:rsidR="006F0041" w:rsidRPr="00D6392C"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D6392C">
              <w:rPr>
                <w:i/>
                <w:iCs/>
                <w:sz w:val="20"/>
                <w:szCs w:val="20"/>
                <w:lang w:val="en-GB"/>
              </w:rPr>
              <w:t xml:space="preserve">How transparent has the reform step implementation been? How has civil society and the wider public been informed about it? What data and information, including key documents, have been made publicly available? </w:t>
            </w:r>
          </w:p>
          <w:p w14:paraId="150437C9" w14:textId="77777777" w:rsidR="006F0041"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D6392C">
              <w:rPr>
                <w:i/>
                <w:iCs/>
                <w:sz w:val="20"/>
                <w:szCs w:val="20"/>
                <w:lang w:val="en-GB"/>
              </w:rPr>
              <w:t xml:space="preserve">How inclusive was the implementation process? Has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5DDCC52D" w14:textId="61EF12D6" w:rsidR="006F0041" w:rsidRPr="00D6392C" w:rsidRDefault="001A17A3" w:rsidP="00314DB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Pr>
                <w:i/>
                <w:iCs/>
                <w:sz w:val="20"/>
                <w:szCs w:val="20"/>
                <w:lang w:val="en-GB"/>
              </w:rPr>
              <w:t>D</w:t>
            </w:r>
            <w:r w:rsidR="006F0041" w:rsidRPr="00D6392C">
              <w:rPr>
                <w:i/>
                <w:iCs/>
                <w:sz w:val="20"/>
                <w:szCs w:val="20"/>
                <w:lang w:val="en-GB"/>
              </w:rPr>
              <w:t xml:space="preserve">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79854129" w14:textId="77777777" w:rsidR="006F0041" w:rsidRPr="00D6392C"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D6392C">
              <w:rPr>
                <w:i/>
                <w:iCs/>
                <w:sz w:val="20"/>
                <w:szCs w:val="20"/>
                <w:lang w:val="en-GB"/>
              </w:rPr>
              <w:t>Please provide references wherever possible.</w:t>
            </w:r>
          </w:p>
          <w:p w14:paraId="0821BEBB" w14:textId="77777777" w:rsidR="006F0041" w:rsidRPr="00D6392C"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D6392C">
              <w:rPr>
                <w:b/>
                <w:bCs/>
                <w:sz w:val="20"/>
                <w:szCs w:val="20"/>
                <w:lang w:val="en-GB"/>
              </w:rPr>
              <w:t>Key issues</w:t>
            </w:r>
          </w:p>
          <w:p w14:paraId="5CEE98E8" w14:textId="77777777" w:rsidR="006F0041" w:rsidRPr="00D6392C"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D6392C">
              <w:rPr>
                <w:b/>
                <w:bCs/>
                <w:sz w:val="20"/>
                <w:szCs w:val="20"/>
                <w:lang w:val="en-GB"/>
              </w:rPr>
              <w:t>Transparency</w:t>
            </w:r>
          </w:p>
          <w:p w14:paraId="28E5B72F" w14:textId="04E16A78" w:rsidR="00610583" w:rsidRDefault="00610583" w:rsidP="00610583">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610583">
              <w:rPr>
                <w:sz w:val="20"/>
                <w:szCs w:val="20"/>
              </w:rPr>
              <w:t xml:space="preserve">Transparency of the WG’s work in 2024 was limited. </w:t>
            </w:r>
            <w:proofErr w:type="gramStart"/>
            <w:r w:rsidRPr="00610583">
              <w:rPr>
                <w:sz w:val="20"/>
                <w:szCs w:val="20"/>
              </w:rPr>
              <w:t>Only brief reports,</w:t>
            </w:r>
            <w:proofErr w:type="gramEnd"/>
            <w:r w:rsidRPr="00610583">
              <w:rPr>
                <w:sz w:val="20"/>
                <w:szCs w:val="20"/>
              </w:rPr>
              <w:t xml:space="preserve"> officially submitted proposals from members, and ODIHR opinions were available. Numerous negotiations concerning the provisions of certain laws—particularly amendments to the Law on the United Voter Register—also involved actors outside the WG. Regarding the drafts submitted in 2026, some crucial information is missing, most notably the legal basis for the Parliamentary Expert Service’s work on these drafts.</w:t>
            </w:r>
          </w:p>
          <w:p w14:paraId="3660ADE5" w14:textId="3F93EC86" w:rsidR="006F0041" w:rsidRDefault="006F0041" w:rsidP="00610583">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D6392C">
              <w:rPr>
                <w:b/>
                <w:bCs/>
                <w:sz w:val="20"/>
                <w:szCs w:val="20"/>
                <w:lang w:val="en-GB"/>
              </w:rPr>
              <w:t>Inclusivity</w:t>
            </w:r>
          </w:p>
          <w:p w14:paraId="5B5C35FB" w14:textId="4202FB8A" w:rsidR="00027923" w:rsidRPr="00027923" w:rsidRDefault="00610583" w:rsidP="0061058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610583">
              <w:rPr>
                <w:sz w:val="20"/>
                <w:szCs w:val="20"/>
              </w:rPr>
              <w:t xml:space="preserve">The process was only partially inclusive. Some parliamentary groups chose not to participate in the WG in 2024. Regarding civil society </w:t>
            </w:r>
            <w:proofErr w:type="spellStart"/>
            <w:r w:rsidRPr="00610583">
              <w:rPr>
                <w:sz w:val="20"/>
                <w:szCs w:val="20"/>
              </w:rPr>
              <w:t>organisations</w:t>
            </w:r>
            <w:proofErr w:type="spellEnd"/>
            <w:r w:rsidRPr="00610583">
              <w:rPr>
                <w:sz w:val="20"/>
                <w:szCs w:val="20"/>
              </w:rPr>
              <w:t>, three were formally invited to take part in the WG, while other CSOs and citizens had very limited opportunities to influence the process, for example by speaking at public hearings on the Law on the United Voter Register. Their comments and suggestions were not systematically addressed.</w:t>
            </w:r>
            <w:r w:rsidR="00027923">
              <w:rPr>
                <w:sz w:val="20"/>
                <w:szCs w:val="20"/>
                <w:lang w:val="en-GB"/>
              </w:rPr>
              <w:t xml:space="preserve"> </w:t>
            </w:r>
          </w:p>
          <w:p w14:paraId="4182EB3A" w14:textId="77777777" w:rsidR="00027923" w:rsidRPr="00D6392C" w:rsidRDefault="00027923" w:rsidP="00314DB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6F0041" w:rsidRPr="00D6392C" w14:paraId="2EB9E1F2"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0FC2CD17" w14:textId="77777777" w:rsidR="006F0041" w:rsidRPr="006B48B6" w:rsidRDefault="006F0041" w:rsidP="00314DB3">
            <w:pPr>
              <w:spacing w:before="120" w:after="120"/>
              <w:rPr>
                <w:rFonts w:ascii="Aptos" w:eastAsia="Times New Roman" w:hAnsi="Aptos" w:cs="Times New Roman"/>
                <w:color w:val="FFFFFF" w:themeColor="background1"/>
                <w:kern w:val="0"/>
                <w:sz w:val="20"/>
                <w:szCs w:val="20"/>
                <w:lang w:val="en-GB" w:eastAsia="en-GB"/>
                <w14:ligatures w14:val="none"/>
              </w:rPr>
            </w:pPr>
            <w:r w:rsidRPr="006B48B6">
              <w:rPr>
                <w:rFonts w:ascii="Aptos" w:eastAsia="Times New Roman" w:hAnsi="Aptos" w:cs="Times New Roman"/>
                <w:color w:val="FFFFFF" w:themeColor="background1"/>
                <w:kern w:val="0"/>
                <w:sz w:val="20"/>
                <w:szCs w:val="20"/>
                <w:lang w:val="en-GB" w:eastAsia="en-GB"/>
                <w14:ligatures w14:val="none"/>
              </w:rPr>
              <w:t>Public availability of evidence of implementation</w:t>
            </w:r>
          </w:p>
        </w:tc>
        <w:tc>
          <w:tcPr>
            <w:tcW w:w="6753" w:type="dxa"/>
          </w:tcPr>
          <w:p w14:paraId="3F4295C4" w14:textId="77777777" w:rsidR="006F0041" w:rsidRPr="00D6392C"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D6392C">
              <w:rPr>
                <w:i/>
                <w:iCs/>
                <w:sz w:val="20"/>
                <w:szCs w:val="20"/>
                <w:lang w:val="en-GB"/>
              </w:rPr>
              <w:t>Has the final source of verification (as per Reform Agenda) been made publicly available? If yes, please list the source (provide link) and date.</w:t>
            </w:r>
          </w:p>
          <w:p w14:paraId="787852B2" w14:textId="70647811" w:rsidR="006F0041" w:rsidRPr="00D6392C" w:rsidRDefault="00027923" w:rsidP="00314DB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Not applicable. </w:t>
            </w:r>
          </w:p>
          <w:p w14:paraId="3B097658" w14:textId="77777777" w:rsidR="006F0041" w:rsidRPr="00D6392C"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p w14:paraId="750DD539" w14:textId="77777777" w:rsidR="006F0041" w:rsidRPr="00D6392C"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6F0041" w:rsidRPr="00D6392C" w14:paraId="26BA2A46"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2C1DCCAB" w14:textId="77777777" w:rsidR="006F0041" w:rsidRPr="006B48B6" w:rsidRDefault="006F0041" w:rsidP="00314DB3">
            <w:pPr>
              <w:spacing w:before="120" w:after="120"/>
              <w:rPr>
                <w:rFonts w:ascii="Aptos" w:eastAsia="Times New Roman" w:hAnsi="Aptos" w:cs="Times New Roman"/>
                <w:color w:val="FFFFFF" w:themeColor="background1"/>
                <w:kern w:val="0"/>
                <w:sz w:val="20"/>
                <w:szCs w:val="20"/>
                <w:lang w:val="en-GB" w:eastAsia="en-GB"/>
                <w14:ligatures w14:val="none"/>
              </w:rPr>
            </w:pPr>
            <w:r w:rsidRPr="006B48B6">
              <w:rPr>
                <w:rFonts w:ascii="Aptos" w:eastAsia="Times New Roman" w:hAnsi="Aptos" w:cs="Times New Roman"/>
                <w:color w:val="FFFFFF" w:themeColor="background1"/>
                <w:kern w:val="0"/>
                <w:sz w:val="20"/>
                <w:szCs w:val="20"/>
                <w:lang w:val="en-GB" w:eastAsia="en-GB"/>
                <w14:ligatures w14:val="none"/>
              </w:rPr>
              <w:t>Analyse quality of the final output of the reform step</w:t>
            </w:r>
          </w:p>
        </w:tc>
        <w:tc>
          <w:tcPr>
            <w:tcW w:w="6753" w:type="dxa"/>
          </w:tcPr>
          <w:p w14:paraId="0E41881A" w14:textId="77777777" w:rsidR="006F0041" w:rsidRPr="00D6392C"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D6392C">
              <w:rPr>
                <w:i/>
                <w:iCs/>
                <w:sz w:val="20"/>
                <w:szCs w:val="20"/>
                <w:lang w:val="en-GB"/>
              </w:rPr>
              <w:t xml:space="preserve">To what extent does the final output of this reform step respect the applicable EU membership requirements/principles/standards? </w:t>
            </w:r>
          </w:p>
          <w:p w14:paraId="030F07F8" w14:textId="417B8F45" w:rsidR="006F0041" w:rsidRPr="00D6392C" w:rsidRDefault="00027923" w:rsidP="00314DB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Not applicable. </w:t>
            </w:r>
          </w:p>
          <w:p w14:paraId="72B1633F" w14:textId="77777777" w:rsidR="006F0041" w:rsidRPr="00D6392C"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p w14:paraId="1A3963E6" w14:textId="77777777" w:rsidR="006F0041" w:rsidRPr="00D6392C"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bl>
    <w:p w14:paraId="4EF4905A" w14:textId="77777777" w:rsidR="006F0041" w:rsidRPr="00D6392C" w:rsidRDefault="006F0041" w:rsidP="006F0041">
      <w:pPr>
        <w:rPr>
          <w:lang w:val="en-GB"/>
        </w:rPr>
      </w:pPr>
    </w:p>
    <w:p w14:paraId="1752AD21" w14:textId="77777777" w:rsidR="006F0041" w:rsidRPr="00D6392C" w:rsidRDefault="006F0041" w:rsidP="006F0041">
      <w:pPr>
        <w:pStyle w:val="Heading1"/>
        <w:numPr>
          <w:ilvl w:val="0"/>
          <w:numId w:val="1"/>
        </w:numPr>
        <w:rPr>
          <w:lang w:val="en-GB"/>
        </w:rPr>
      </w:pPr>
      <w:r w:rsidRPr="00D6392C">
        <w:rPr>
          <w:lang w:val="en-GB"/>
        </w:rPr>
        <w:lastRenderedPageBreak/>
        <w:t>Final assessment</w:t>
      </w:r>
    </w:p>
    <w:p w14:paraId="59C89C0F" w14:textId="77777777" w:rsidR="006F0041" w:rsidRPr="00D6392C" w:rsidRDefault="006F0041" w:rsidP="006F0041">
      <w:pPr>
        <w:rPr>
          <w:lang w:val="en-GB"/>
        </w:rPr>
      </w:pPr>
    </w:p>
    <w:tbl>
      <w:tblPr>
        <w:tblStyle w:val="GridTable1Light"/>
        <w:tblW w:w="0" w:type="auto"/>
        <w:tblLook w:val="0480" w:firstRow="0" w:lastRow="0" w:firstColumn="1" w:lastColumn="0" w:noHBand="0" w:noVBand="1"/>
      </w:tblPr>
      <w:tblGrid>
        <w:gridCol w:w="2263"/>
        <w:gridCol w:w="6753"/>
      </w:tblGrid>
      <w:tr w:rsidR="006F0041" w:rsidRPr="00D6392C" w14:paraId="0471CB3F"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0017D9D3" w14:textId="77777777" w:rsidR="006F0041" w:rsidRPr="0031756D" w:rsidRDefault="006F0041" w:rsidP="00314DB3">
            <w:pPr>
              <w:spacing w:before="60" w:after="60"/>
              <w:rPr>
                <w:color w:val="FFFFFF" w:themeColor="background1"/>
                <w:sz w:val="20"/>
                <w:szCs w:val="20"/>
                <w:lang w:val="en-GB"/>
              </w:rPr>
            </w:pPr>
            <w:r w:rsidRPr="0031756D">
              <w:rPr>
                <w:color w:val="FFFFFF" w:themeColor="background1"/>
                <w:sz w:val="20"/>
                <w:szCs w:val="20"/>
                <w:lang w:val="en-GB"/>
              </w:rPr>
              <w:t>Assess formal achievement</w:t>
            </w:r>
            <w:r w:rsidRPr="0031756D">
              <w:rPr>
                <w:rStyle w:val="FootnoteReference"/>
                <w:color w:val="FFFFFF" w:themeColor="background1"/>
                <w:sz w:val="20"/>
                <w:szCs w:val="20"/>
                <w:lang w:val="en-GB"/>
              </w:rPr>
              <w:footnoteReference w:id="14"/>
            </w:r>
          </w:p>
        </w:tc>
        <w:tc>
          <w:tcPr>
            <w:tcW w:w="6753" w:type="dxa"/>
          </w:tcPr>
          <w:p w14:paraId="20B96C05" w14:textId="7AE5AFED" w:rsidR="006F0041" w:rsidRPr="0031756D" w:rsidRDefault="00027923" w:rsidP="00314DB3">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31756D">
              <w:rPr>
                <w:b/>
                <w:bCs/>
                <w:sz w:val="20"/>
                <w:szCs w:val="20"/>
                <w:lang w:val="en-GB"/>
              </w:rPr>
              <w:t xml:space="preserve">Not achieved. </w:t>
            </w:r>
          </w:p>
        </w:tc>
      </w:tr>
      <w:tr w:rsidR="006F0041" w:rsidRPr="00D6392C" w14:paraId="248D102F"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1C8ED1AF" w14:textId="77777777" w:rsidR="006F0041" w:rsidRPr="0031756D" w:rsidRDefault="006F0041" w:rsidP="00314DB3">
            <w:pPr>
              <w:spacing w:before="60" w:after="60"/>
              <w:rPr>
                <w:color w:val="FFFFFF" w:themeColor="background1"/>
                <w:sz w:val="20"/>
                <w:szCs w:val="20"/>
                <w:lang w:val="en-GB"/>
              </w:rPr>
            </w:pPr>
            <w:r w:rsidRPr="0031756D">
              <w:rPr>
                <w:color w:val="FFFFFF" w:themeColor="background1"/>
                <w:sz w:val="20"/>
                <w:szCs w:val="20"/>
                <w:lang w:val="en-GB"/>
              </w:rPr>
              <w:t>Elaboration of final assessment</w:t>
            </w:r>
          </w:p>
        </w:tc>
        <w:tc>
          <w:tcPr>
            <w:tcW w:w="6753" w:type="dxa"/>
          </w:tcPr>
          <w:p w14:paraId="0AA2E143" w14:textId="77777777" w:rsidR="009B5987" w:rsidRDefault="009B5987" w:rsidP="009B5987">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9B5987">
              <w:rPr>
                <w:sz w:val="20"/>
                <w:szCs w:val="20"/>
              </w:rPr>
              <w:t xml:space="preserve">A clear list of “key recommendations” has not been established, making it impossible to verify progress based on factual evidence. </w:t>
            </w:r>
          </w:p>
          <w:p w14:paraId="4926907F" w14:textId="77777777" w:rsidR="009B5987" w:rsidRDefault="009B5987" w:rsidP="009B5987">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9B5987">
              <w:rPr>
                <w:sz w:val="20"/>
                <w:szCs w:val="20"/>
              </w:rPr>
              <w:t xml:space="preserve">The WG has not been functional for more than a year, and no attempt was made to establish an alternative multi-stakeholder consultative mechanism. </w:t>
            </w:r>
          </w:p>
          <w:p w14:paraId="0AACBF83" w14:textId="77777777" w:rsidR="009B5987" w:rsidRDefault="009B5987" w:rsidP="009B5987">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9B5987">
              <w:rPr>
                <w:sz w:val="20"/>
                <w:szCs w:val="20"/>
              </w:rPr>
              <w:t xml:space="preserve">During its work in 2024, the WG failed to achieve the required majority for any proposal. </w:t>
            </w:r>
          </w:p>
          <w:p w14:paraId="2C7EC7F4" w14:textId="77777777" w:rsidR="009B5987" w:rsidRDefault="009B5987" w:rsidP="009B5987">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9B5987">
              <w:rPr>
                <w:sz w:val="20"/>
                <w:szCs w:val="20"/>
              </w:rPr>
              <w:t xml:space="preserve">The adopted amendments to the Law on the Unified Voter Register do not fully reflect ODIHR’s opinions on previous drafts. </w:t>
            </w:r>
          </w:p>
          <w:p w14:paraId="244FCD8B" w14:textId="203BAD94" w:rsidR="006F0041" w:rsidRPr="00D6392C" w:rsidRDefault="009B5987" w:rsidP="009B5987">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9B5987">
              <w:rPr>
                <w:sz w:val="20"/>
                <w:szCs w:val="20"/>
              </w:rPr>
              <w:t xml:space="preserve">Some legislative reforms were initiated in 2026, but they were neither prepared within the WG nor through any other legally </w:t>
            </w:r>
            <w:proofErr w:type="spellStart"/>
            <w:r w:rsidRPr="009B5987">
              <w:rPr>
                <w:sz w:val="20"/>
                <w:szCs w:val="20"/>
              </w:rPr>
              <w:t>recognised</w:t>
            </w:r>
            <w:proofErr w:type="spellEnd"/>
            <w:r w:rsidRPr="009B5987">
              <w:rPr>
                <w:sz w:val="20"/>
                <w:szCs w:val="20"/>
              </w:rPr>
              <w:t xml:space="preserve"> procedure.</w:t>
            </w:r>
          </w:p>
        </w:tc>
      </w:tr>
    </w:tbl>
    <w:p w14:paraId="52B2A7E0" w14:textId="77777777" w:rsidR="006F0041" w:rsidRPr="00D6392C" w:rsidRDefault="006F0041" w:rsidP="006F0041">
      <w:pPr>
        <w:rPr>
          <w:lang w:val="en-GB"/>
        </w:rPr>
      </w:pPr>
    </w:p>
    <w:p w14:paraId="2ADF1D2F" w14:textId="77777777" w:rsidR="006F0041" w:rsidRPr="00D6392C" w:rsidRDefault="006F0041" w:rsidP="006F0041">
      <w:pPr>
        <w:rPr>
          <w:lang w:val="en-GB"/>
        </w:rPr>
      </w:pPr>
    </w:p>
    <w:p w14:paraId="4C6F61A0" w14:textId="77777777" w:rsidR="006F0041" w:rsidRPr="00D6392C" w:rsidRDefault="006F0041" w:rsidP="006F0041">
      <w:pPr>
        <w:rPr>
          <w:lang w:val="en-GB"/>
        </w:rPr>
      </w:pPr>
    </w:p>
    <w:p w14:paraId="423127B4" w14:textId="77777777" w:rsidR="00FB11D0" w:rsidRPr="00D6392C" w:rsidRDefault="00FB11D0">
      <w:pPr>
        <w:rPr>
          <w:lang w:val="en-GB"/>
        </w:rPr>
      </w:pPr>
    </w:p>
    <w:sectPr w:rsidR="00FB11D0" w:rsidRPr="00D6392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AB62F" w14:textId="77777777" w:rsidR="002A24F2" w:rsidRDefault="002A24F2" w:rsidP="006F0041">
      <w:r>
        <w:separator/>
      </w:r>
    </w:p>
  </w:endnote>
  <w:endnote w:type="continuationSeparator" w:id="0">
    <w:p w14:paraId="50382C9A" w14:textId="77777777" w:rsidR="002A24F2" w:rsidRDefault="002A24F2" w:rsidP="006F0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0BC93" w14:textId="77777777" w:rsidR="002A24F2" w:rsidRDefault="002A24F2" w:rsidP="006F0041">
      <w:r>
        <w:separator/>
      </w:r>
    </w:p>
  </w:footnote>
  <w:footnote w:type="continuationSeparator" w:id="0">
    <w:p w14:paraId="0DC78180" w14:textId="77777777" w:rsidR="002A24F2" w:rsidRDefault="002A24F2" w:rsidP="006F0041">
      <w:r>
        <w:continuationSeparator/>
      </w:r>
    </w:p>
  </w:footnote>
  <w:footnote w:id="1">
    <w:p w14:paraId="214F858C" w14:textId="3E6544B6" w:rsidR="00D532F3" w:rsidRDefault="00D532F3">
      <w:pPr>
        <w:pStyle w:val="FootnoteText"/>
      </w:pPr>
      <w:r>
        <w:rPr>
          <w:rStyle w:val="FootnoteReference"/>
        </w:rPr>
        <w:footnoteRef/>
      </w:r>
      <w:r>
        <w:t xml:space="preserve"> Available here: </w:t>
      </w:r>
      <w:hyperlink r:id="rId1" w:history="1">
        <w:r w:rsidRPr="00E07967">
          <w:rPr>
            <w:rStyle w:val="Hyperlink"/>
          </w:rPr>
          <w:t>https://www.parlament.gov.rs/narodna-skupstina-/sastav/radna-tela/radne-grupe.4457.html</w:t>
        </w:r>
      </w:hyperlink>
      <w:r>
        <w:t xml:space="preserve"> </w:t>
      </w:r>
    </w:p>
  </w:footnote>
  <w:footnote w:id="2">
    <w:p w14:paraId="612D6127" w14:textId="73E9B4EA" w:rsidR="00386370" w:rsidRDefault="00386370">
      <w:pPr>
        <w:pStyle w:val="FootnoteText"/>
      </w:pPr>
      <w:r>
        <w:rPr>
          <w:rStyle w:val="FootnoteReference"/>
        </w:rPr>
        <w:footnoteRef/>
      </w:r>
      <w:r>
        <w:t xml:space="preserve"> The list of laws is available in the Report of WG chairperson covering May / October 2024 period: </w:t>
      </w:r>
      <w:hyperlink r:id="rId2" w:history="1">
        <w:r w:rsidRPr="00E07967">
          <w:rPr>
            <w:rStyle w:val="Hyperlink"/>
          </w:rPr>
          <w:t>https://www.parlament.gov.rs/upload/documents/dokumenta/Informacija%20o%20radu%20Radne%20grupe%20za%20unapredjenje%20izbornog%20procesa%20u%20periodu%20od%2031.%20maja%20do%202.%20oktobra%202024.%20godine.pdf</w:t>
        </w:r>
      </w:hyperlink>
      <w:r>
        <w:t xml:space="preserve"> </w:t>
      </w:r>
    </w:p>
  </w:footnote>
  <w:footnote w:id="3">
    <w:p w14:paraId="1E52F494" w14:textId="215CEFA7" w:rsidR="00386370" w:rsidRDefault="00386370">
      <w:pPr>
        <w:pStyle w:val="FootnoteText"/>
      </w:pPr>
      <w:r>
        <w:rPr>
          <w:rStyle w:val="FootnoteReference"/>
        </w:rPr>
        <w:footnoteRef/>
      </w:r>
      <w:r>
        <w:t xml:space="preserve"> See more in the first report of the WG chair, available here: </w:t>
      </w:r>
      <w:hyperlink r:id="rId3" w:history="1">
        <w:r w:rsidRPr="00E07967">
          <w:rPr>
            <w:rStyle w:val="Hyperlink"/>
          </w:rPr>
          <w:t>https://www.parlament.gov.rs/upload/documents/dokumenta/Informacija%20predsedavajuceg%20o%20radu%20Radne%20grupe%2021.05.2024.pdf</w:t>
        </w:r>
      </w:hyperlink>
      <w:r>
        <w:t xml:space="preserve"> </w:t>
      </w:r>
    </w:p>
  </w:footnote>
  <w:footnote w:id="4">
    <w:p w14:paraId="79BEE4CB" w14:textId="7C1F7183" w:rsidR="00386370" w:rsidRDefault="00386370">
      <w:pPr>
        <w:pStyle w:val="FootnoteText"/>
      </w:pPr>
      <w:r>
        <w:rPr>
          <w:rStyle w:val="FootnoteReference"/>
        </w:rPr>
        <w:footnoteRef/>
      </w:r>
      <w:r>
        <w:t xml:space="preserve"> See more in the report of WG chair, covering period from October 2024 till January 2025, available here: </w:t>
      </w:r>
      <w:hyperlink r:id="rId4" w:history="1">
        <w:r w:rsidRPr="00E07967">
          <w:rPr>
            <w:rStyle w:val="Hyperlink"/>
          </w:rPr>
          <w:t>https://www.parlament.gov.rs/upload/documents/dokumenta/Informacija%20o%20radu%20Radne%20grupe%20za%20unapredjenje%20izbornog%20procesa%20u%20periodu%20od%2011.%20oktobra%20do%2031.%20januara%202025.%20godine.pdf</w:t>
        </w:r>
      </w:hyperlink>
      <w:r>
        <w:t xml:space="preserve"> </w:t>
      </w:r>
    </w:p>
  </w:footnote>
  <w:footnote w:id="5">
    <w:p w14:paraId="72CD3478" w14:textId="670FD6B1" w:rsidR="00386370" w:rsidRDefault="00386370">
      <w:pPr>
        <w:pStyle w:val="FootnoteText"/>
      </w:pPr>
      <w:r>
        <w:rPr>
          <w:rStyle w:val="FootnoteReference"/>
        </w:rPr>
        <w:footnoteRef/>
      </w:r>
      <w:r>
        <w:t xml:space="preserve"> Proposals are listed here: </w:t>
      </w:r>
      <w:hyperlink r:id="rId5" w:history="1">
        <w:r w:rsidRPr="00E07967">
          <w:rPr>
            <w:rStyle w:val="Hyperlink"/>
          </w:rPr>
          <w:t>https://www.parlament.gov.rs/upload/documents/dokumenta/Informacija%20o%20radu%20Radne%20grupe%20za%20unapredjenje%20izbornog%20procesa%20u%20periodu%20od%2031.%20maja%20do%202.%20oktobra%202024.%20godine.pdf</w:t>
        </w:r>
      </w:hyperlink>
      <w:r>
        <w:t xml:space="preserve"> and their texts are available here: </w:t>
      </w:r>
      <w:hyperlink r:id="rId6" w:history="1">
        <w:r w:rsidRPr="00E07967">
          <w:rPr>
            <w:rStyle w:val="Hyperlink"/>
          </w:rPr>
          <w:t>https://www.parlament.gov.rs/narodna-skupstina-/sastav/radna-tela.5001.html</w:t>
        </w:r>
      </w:hyperlink>
      <w:r>
        <w:t xml:space="preserve"> </w:t>
      </w:r>
    </w:p>
  </w:footnote>
  <w:footnote w:id="6">
    <w:p w14:paraId="1C1202F2" w14:textId="206FCF4C" w:rsidR="00386370" w:rsidRDefault="00386370">
      <w:pPr>
        <w:pStyle w:val="FootnoteText"/>
      </w:pPr>
      <w:r>
        <w:rPr>
          <w:rStyle w:val="FootnoteReference"/>
        </w:rPr>
        <w:footnoteRef/>
      </w:r>
      <w:r>
        <w:t xml:space="preserve"> </w:t>
      </w:r>
      <w:r w:rsidR="00376A04">
        <w:t xml:space="preserve">Proposals are available here: </w:t>
      </w:r>
      <w:hyperlink r:id="rId7" w:history="1">
        <w:r w:rsidR="00376A04" w:rsidRPr="00E07967">
          <w:rPr>
            <w:rStyle w:val="Hyperlink"/>
          </w:rPr>
          <w:t>https://www.parlament.gov.rs/narodna-skupstina-/sastav/radna-tela.5033.html</w:t>
        </w:r>
      </w:hyperlink>
      <w:r w:rsidR="00376A04">
        <w:t xml:space="preserve"> </w:t>
      </w:r>
    </w:p>
  </w:footnote>
  <w:footnote w:id="7">
    <w:p w14:paraId="7D66622D" w14:textId="60BB5A36" w:rsidR="00376A04" w:rsidRDefault="00376A04">
      <w:pPr>
        <w:pStyle w:val="FootnoteText"/>
      </w:pPr>
      <w:r>
        <w:rPr>
          <w:rStyle w:val="FootnoteReference"/>
        </w:rPr>
        <w:footnoteRef/>
      </w:r>
      <w:r>
        <w:t xml:space="preserve"> Documents not published by the Parliament. </w:t>
      </w:r>
    </w:p>
  </w:footnote>
  <w:footnote w:id="8">
    <w:p w14:paraId="7A27F8DC" w14:textId="01F8F7B8" w:rsidR="00376A04" w:rsidRDefault="00376A04">
      <w:pPr>
        <w:pStyle w:val="FootnoteText"/>
      </w:pPr>
      <w:r>
        <w:rPr>
          <w:rStyle w:val="FootnoteReference"/>
        </w:rPr>
        <w:footnoteRef/>
      </w:r>
      <w:r>
        <w:t xml:space="preserve"> </w:t>
      </w:r>
      <w:hyperlink r:id="rId8" w:history="1">
        <w:r w:rsidR="00D50C70" w:rsidRPr="00E07967">
          <w:rPr>
            <w:rStyle w:val="Hyperlink"/>
          </w:rPr>
          <w:t>https://www.parlament.gov.rs/Na_Devetom_javnom_slu%C5%A1anju_predstavljen_nacrt_zakona_o_izmenama_i_dopunama_Zakona_o_jedinstvenom_bira%C4%8Dkom_spisku.51543.941.html</w:t>
        </w:r>
      </w:hyperlink>
      <w:r w:rsidR="00D50C70">
        <w:t xml:space="preserve"> </w:t>
      </w:r>
    </w:p>
  </w:footnote>
  <w:footnote w:id="9">
    <w:p w14:paraId="0DA2C232" w14:textId="6E3094E5" w:rsidR="00376A04" w:rsidRDefault="00376A04">
      <w:pPr>
        <w:pStyle w:val="FootnoteText"/>
      </w:pPr>
      <w:r>
        <w:rPr>
          <w:rStyle w:val="FootnoteReference"/>
        </w:rPr>
        <w:footnoteRef/>
      </w:r>
      <w:r>
        <w:t xml:space="preserve"> ODIHR </w:t>
      </w:r>
      <w:proofErr w:type="spellStart"/>
      <w:r>
        <w:t>oppinions</w:t>
      </w:r>
      <w:proofErr w:type="spellEnd"/>
      <w:r>
        <w:t xml:space="preserve"> are available here: </w:t>
      </w:r>
      <w:hyperlink r:id="rId9" w:history="1">
        <w:r w:rsidRPr="00E07967">
          <w:rPr>
            <w:rStyle w:val="Hyperlink"/>
          </w:rPr>
          <w:t>https://www.parlament.gov.rs/narodna-skupstina-/sastav/radna-tela.5033.html</w:t>
        </w:r>
      </w:hyperlink>
      <w:r>
        <w:t xml:space="preserve"> </w:t>
      </w:r>
    </w:p>
  </w:footnote>
  <w:footnote w:id="10">
    <w:p w14:paraId="2A62C0A0" w14:textId="0EB5353D" w:rsidR="00376A04" w:rsidRDefault="00376A04">
      <w:pPr>
        <w:pStyle w:val="FootnoteText"/>
      </w:pPr>
      <w:r>
        <w:rPr>
          <w:rStyle w:val="FootnoteReference"/>
        </w:rPr>
        <w:footnoteRef/>
      </w:r>
      <w:r>
        <w:t xml:space="preserve"> </w:t>
      </w:r>
      <w:hyperlink r:id="rId10" w:history="1">
        <w:r w:rsidRPr="00E07967">
          <w:rPr>
            <w:rStyle w:val="Hyperlink"/>
          </w:rPr>
          <w:t>https://odihr.osce.org/odihr/662623</w:t>
        </w:r>
      </w:hyperlink>
      <w:r>
        <w:t xml:space="preserve"> </w:t>
      </w:r>
    </w:p>
  </w:footnote>
  <w:footnote w:id="11">
    <w:p w14:paraId="13454B85" w14:textId="7C13A0DD" w:rsidR="00376A04" w:rsidRDefault="00376A04">
      <w:pPr>
        <w:pStyle w:val="FootnoteText"/>
      </w:pPr>
      <w:r>
        <w:rPr>
          <w:rStyle w:val="FootnoteReference"/>
        </w:rPr>
        <w:footnoteRef/>
      </w:r>
      <w:r>
        <w:t xml:space="preserve"> </w:t>
      </w:r>
      <w:hyperlink r:id="rId11" w:history="1">
        <w:r w:rsidRPr="00E07967">
          <w:rPr>
            <w:rStyle w:val="Hyperlink"/>
          </w:rPr>
          <w:t>http://www.parlament.gov.rs/upload/archive/files/lat/pdf/predlozi_zakona/14_saziv/2147-25%20-%20Lat..pdf</w:t>
        </w:r>
      </w:hyperlink>
      <w:r>
        <w:t xml:space="preserve"> </w:t>
      </w:r>
    </w:p>
  </w:footnote>
  <w:footnote w:id="12">
    <w:p w14:paraId="13B72ACD" w14:textId="4D822D26" w:rsidR="00442E42" w:rsidRDefault="00442E42">
      <w:pPr>
        <w:pStyle w:val="FootnoteText"/>
      </w:pPr>
      <w:r>
        <w:rPr>
          <w:rStyle w:val="FootnoteReference"/>
        </w:rPr>
        <w:footnoteRef/>
      </w:r>
      <w:r>
        <w:t xml:space="preserve"> </w:t>
      </w:r>
      <w:hyperlink r:id="rId12" w:history="1">
        <w:r w:rsidR="00376A04" w:rsidRPr="00E07967">
          <w:rPr>
            <w:rStyle w:val="Hyperlink"/>
          </w:rPr>
          <w:t>https://www.osce.org/odihr/elections/serbia</w:t>
        </w:r>
      </w:hyperlink>
      <w:r w:rsidR="00376A04">
        <w:t xml:space="preserve"> </w:t>
      </w:r>
    </w:p>
  </w:footnote>
  <w:footnote w:id="13">
    <w:p w14:paraId="1A4E6D48" w14:textId="77777777" w:rsidR="007D4B43" w:rsidRDefault="007D4B43">
      <w:pPr>
        <w:pStyle w:val="FootnoteText"/>
      </w:pPr>
      <w:r>
        <w:rPr>
          <w:rStyle w:val="FootnoteReference"/>
        </w:rPr>
        <w:footnoteRef/>
      </w:r>
      <w:r>
        <w:t xml:space="preserve"> </w:t>
      </w:r>
      <w:r w:rsidRPr="007D4B43">
        <w:t>Strasbourg, 19 December 2022</w:t>
      </w:r>
      <w:r>
        <w:t>,</w:t>
      </w:r>
      <w:r w:rsidRPr="007D4B43">
        <w:t xml:space="preserve"> Opinion No. 1071/2021 OSCE/ODIHR Opinion-No. ELE-SRB/449/2022 CDL-</w:t>
      </w:r>
      <w:proofErr w:type="gramStart"/>
      <w:r w:rsidRPr="007D4B43">
        <w:t>AD(</w:t>
      </w:r>
      <w:proofErr w:type="gramEnd"/>
      <w:r w:rsidRPr="007D4B43">
        <w:t xml:space="preserve">2022)046 Or. Engl. EUROPEAN COMMISSION FOR DEMOCRACY THROUGH LAW (VENICE COMMISSION) OSCE OFFICE FOR DEMOCRATIC INSTITUTIONS AND HUMAN RIGHTS (OSCE/ODIHR) SERBIA </w:t>
      </w:r>
    </w:p>
    <w:p w14:paraId="47D1E1F4" w14:textId="51A1A731" w:rsidR="007D4B43" w:rsidRDefault="007D4B43">
      <w:pPr>
        <w:pStyle w:val="FootnoteText"/>
      </w:pPr>
      <w:r>
        <w:t>“</w:t>
      </w:r>
      <w:r w:rsidRPr="007D4B43">
        <w:t xml:space="preserve">JOINT OPINION ON THE CONSTITUTIONAL AND LEGAL FRAMEWORK GOVERNING THE FUNCTIONING OF DEMOCRATIC </w:t>
      </w:r>
      <w:proofErr w:type="gramStart"/>
      <w:r w:rsidRPr="007D4B43">
        <w:t>INSTITUTIONS  ELECTORAL</w:t>
      </w:r>
      <w:proofErr w:type="gramEnd"/>
      <w:r w:rsidRPr="007D4B43">
        <w:t xml:space="preserve"> LAW AND ELECTORAL ADMINISTRATION</w:t>
      </w:r>
      <w:r>
        <w:t>”, page 6, available at:</w:t>
      </w:r>
    </w:p>
    <w:p w14:paraId="270F518E" w14:textId="60FA3797" w:rsidR="007D4B43" w:rsidRDefault="007D4B43">
      <w:pPr>
        <w:pStyle w:val="FootnoteText"/>
      </w:pPr>
      <w:hyperlink r:id="rId13" w:history="1">
        <w:r w:rsidRPr="00E07967">
          <w:rPr>
            <w:rStyle w:val="Hyperlink"/>
          </w:rPr>
          <w:t>https://odihr.osce.org/sites/default/files/f/documents/7/e/535266.pdf</w:t>
        </w:r>
      </w:hyperlink>
      <w:r>
        <w:t xml:space="preserve"> </w:t>
      </w:r>
    </w:p>
  </w:footnote>
  <w:footnote w:id="14">
    <w:p w14:paraId="680110E3" w14:textId="77777777" w:rsidR="006F0041" w:rsidRPr="008945B6" w:rsidRDefault="006F0041" w:rsidP="006F0041">
      <w:pPr>
        <w:pStyle w:val="FootnoteText"/>
        <w:rPr>
          <w:sz w:val="18"/>
          <w:szCs w:val="18"/>
          <w:lang w:val="en-GB"/>
        </w:rPr>
      </w:pPr>
      <w:r w:rsidRPr="008945B6">
        <w:rPr>
          <w:rStyle w:val="FootnoteReference"/>
          <w:sz w:val="18"/>
          <w:szCs w:val="18"/>
          <w:lang w:val="en-GB"/>
        </w:rPr>
        <w:footnoteRef/>
      </w:r>
      <w:r w:rsidRPr="008945B6">
        <w:rPr>
          <w:sz w:val="18"/>
          <w:szCs w:val="18"/>
          <w:lang w:val="en-GB"/>
        </w:rPr>
        <w:t xml:space="preserve"> Partial achievement possible only for </w:t>
      </w:r>
      <w:r w:rsidRPr="008945B6">
        <w:rPr>
          <w:b/>
          <w:bCs/>
          <w:sz w:val="18"/>
          <w:szCs w:val="18"/>
          <w:lang w:val="en-GB"/>
        </w:rPr>
        <w:t>quantitative</w:t>
      </w:r>
      <w:r w:rsidRPr="008945B6">
        <w:rPr>
          <w:sz w:val="18"/>
          <w:szCs w:val="18"/>
          <w:lang w:val="en-GB"/>
        </w:rPr>
        <w:t xml:space="preserve"> steps. For such steps, insert level (percentage) of implementation, if available.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047454F"/>
    <w:multiLevelType w:val="hybridMultilevel"/>
    <w:tmpl w:val="6AD850CC"/>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32CE55FC"/>
    <w:multiLevelType w:val="hybridMultilevel"/>
    <w:tmpl w:val="EF40F75A"/>
    <w:lvl w:ilvl="0" w:tplc="99D4C2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5E30214"/>
    <w:multiLevelType w:val="hybridMultilevel"/>
    <w:tmpl w:val="3D1CB016"/>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16cid:durableId="1209074005">
    <w:abstractNumId w:val="0"/>
  </w:num>
  <w:num w:numId="2" w16cid:durableId="1811746263">
    <w:abstractNumId w:val="1"/>
  </w:num>
  <w:num w:numId="3" w16cid:durableId="732585498">
    <w:abstractNumId w:val="3"/>
  </w:num>
  <w:num w:numId="4" w16cid:durableId="581060633">
    <w:abstractNumId w:val="4"/>
  </w:num>
  <w:num w:numId="5" w16cid:durableId="6636274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041"/>
    <w:rsid w:val="00027923"/>
    <w:rsid w:val="000415B1"/>
    <w:rsid w:val="001104DD"/>
    <w:rsid w:val="0012785A"/>
    <w:rsid w:val="001301AE"/>
    <w:rsid w:val="001329EB"/>
    <w:rsid w:val="00181D22"/>
    <w:rsid w:val="001A17A3"/>
    <w:rsid w:val="001A676C"/>
    <w:rsid w:val="001C1CAA"/>
    <w:rsid w:val="00241BE4"/>
    <w:rsid w:val="002A24F2"/>
    <w:rsid w:val="002E53F0"/>
    <w:rsid w:val="0031756D"/>
    <w:rsid w:val="00367C54"/>
    <w:rsid w:val="003736BA"/>
    <w:rsid w:val="00376A04"/>
    <w:rsid w:val="00386370"/>
    <w:rsid w:val="003A72CC"/>
    <w:rsid w:val="00406720"/>
    <w:rsid w:val="00420153"/>
    <w:rsid w:val="004239EC"/>
    <w:rsid w:val="004332F5"/>
    <w:rsid w:val="00442E42"/>
    <w:rsid w:val="005E1379"/>
    <w:rsid w:val="006075F7"/>
    <w:rsid w:val="00610583"/>
    <w:rsid w:val="00651613"/>
    <w:rsid w:val="00664947"/>
    <w:rsid w:val="006B48B6"/>
    <w:rsid w:val="006F0041"/>
    <w:rsid w:val="007769C3"/>
    <w:rsid w:val="00777EE1"/>
    <w:rsid w:val="007D4B43"/>
    <w:rsid w:val="007F4034"/>
    <w:rsid w:val="00834E31"/>
    <w:rsid w:val="00890D34"/>
    <w:rsid w:val="008B300A"/>
    <w:rsid w:val="008D53C1"/>
    <w:rsid w:val="00900CE6"/>
    <w:rsid w:val="0095387A"/>
    <w:rsid w:val="00955328"/>
    <w:rsid w:val="009B1CE8"/>
    <w:rsid w:val="009B5987"/>
    <w:rsid w:val="00AC7A08"/>
    <w:rsid w:val="00BC2F2C"/>
    <w:rsid w:val="00BF6835"/>
    <w:rsid w:val="00C36BA3"/>
    <w:rsid w:val="00C54599"/>
    <w:rsid w:val="00C83EDF"/>
    <w:rsid w:val="00C90450"/>
    <w:rsid w:val="00D50C70"/>
    <w:rsid w:val="00D532F3"/>
    <w:rsid w:val="00D6392C"/>
    <w:rsid w:val="00D8224C"/>
    <w:rsid w:val="00DC2D3F"/>
    <w:rsid w:val="00DD1510"/>
    <w:rsid w:val="00DD3C81"/>
    <w:rsid w:val="00E14255"/>
    <w:rsid w:val="00ED0279"/>
    <w:rsid w:val="00F11400"/>
    <w:rsid w:val="00FB11D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D0ED8"/>
  <w15:chartTrackingRefBased/>
  <w15:docId w15:val="{77EEE469-D927-4326-937E-A296656EE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041"/>
    <w:pPr>
      <w:spacing w:after="0" w:line="240" w:lineRule="auto"/>
    </w:pPr>
    <w:rPr>
      <w:sz w:val="24"/>
      <w:szCs w:val="24"/>
      <w:lang w:val="en-US"/>
    </w:rPr>
  </w:style>
  <w:style w:type="paragraph" w:styleId="Heading1">
    <w:name w:val="heading 1"/>
    <w:basedOn w:val="Normal"/>
    <w:next w:val="Normal"/>
    <w:link w:val="Heading1Char"/>
    <w:uiPriority w:val="9"/>
    <w:qFormat/>
    <w:rsid w:val="006F004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F004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F004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F004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F004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F004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004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00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00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004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F004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F004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F004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F004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F00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00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00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0041"/>
    <w:rPr>
      <w:rFonts w:eastAsiaTheme="majorEastAsia" w:cstheme="majorBidi"/>
      <w:color w:val="272727" w:themeColor="text1" w:themeTint="D8"/>
    </w:rPr>
  </w:style>
  <w:style w:type="paragraph" w:styleId="Title">
    <w:name w:val="Title"/>
    <w:basedOn w:val="Normal"/>
    <w:next w:val="Normal"/>
    <w:link w:val="TitleChar"/>
    <w:uiPriority w:val="10"/>
    <w:qFormat/>
    <w:rsid w:val="006F004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00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00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00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0041"/>
    <w:pPr>
      <w:spacing w:before="160"/>
      <w:jc w:val="center"/>
    </w:pPr>
    <w:rPr>
      <w:i/>
      <w:iCs/>
      <w:color w:val="404040" w:themeColor="text1" w:themeTint="BF"/>
    </w:rPr>
  </w:style>
  <w:style w:type="character" w:customStyle="1" w:styleId="QuoteChar">
    <w:name w:val="Quote Char"/>
    <w:basedOn w:val="DefaultParagraphFont"/>
    <w:link w:val="Quote"/>
    <w:uiPriority w:val="29"/>
    <w:rsid w:val="006F0041"/>
    <w:rPr>
      <w:i/>
      <w:iCs/>
      <w:color w:val="404040" w:themeColor="text1" w:themeTint="BF"/>
    </w:rPr>
  </w:style>
  <w:style w:type="paragraph" w:styleId="ListParagraph">
    <w:name w:val="List Paragraph"/>
    <w:basedOn w:val="Normal"/>
    <w:uiPriority w:val="34"/>
    <w:qFormat/>
    <w:rsid w:val="006F0041"/>
    <w:pPr>
      <w:ind w:left="720"/>
      <w:contextualSpacing/>
    </w:pPr>
  </w:style>
  <w:style w:type="character" w:styleId="IntenseEmphasis">
    <w:name w:val="Intense Emphasis"/>
    <w:basedOn w:val="DefaultParagraphFont"/>
    <w:uiPriority w:val="21"/>
    <w:qFormat/>
    <w:rsid w:val="006F0041"/>
    <w:rPr>
      <w:i/>
      <w:iCs/>
      <w:color w:val="2F5496" w:themeColor="accent1" w:themeShade="BF"/>
    </w:rPr>
  </w:style>
  <w:style w:type="paragraph" w:styleId="IntenseQuote">
    <w:name w:val="Intense Quote"/>
    <w:basedOn w:val="Normal"/>
    <w:next w:val="Normal"/>
    <w:link w:val="IntenseQuoteChar"/>
    <w:uiPriority w:val="30"/>
    <w:qFormat/>
    <w:rsid w:val="006F004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F0041"/>
    <w:rPr>
      <w:i/>
      <w:iCs/>
      <w:color w:val="2F5496" w:themeColor="accent1" w:themeShade="BF"/>
    </w:rPr>
  </w:style>
  <w:style w:type="character" w:styleId="IntenseReference">
    <w:name w:val="Intense Reference"/>
    <w:basedOn w:val="DefaultParagraphFont"/>
    <w:uiPriority w:val="32"/>
    <w:qFormat/>
    <w:rsid w:val="006F0041"/>
    <w:rPr>
      <w:b/>
      <w:bCs/>
      <w:smallCaps/>
      <w:color w:val="2F5496" w:themeColor="accent1" w:themeShade="BF"/>
      <w:spacing w:val="5"/>
    </w:rPr>
  </w:style>
  <w:style w:type="table" w:styleId="GridTable1Light">
    <w:name w:val="Grid Table 1 Light"/>
    <w:basedOn w:val="TableNormal"/>
    <w:uiPriority w:val="46"/>
    <w:rsid w:val="006F0041"/>
    <w:pPr>
      <w:spacing w:after="0" w:line="240" w:lineRule="auto"/>
    </w:pPr>
    <w:rPr>
      <w:sz w:val="24"/>
      <w:szCs w:val="24"/>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6F0041"/>
    <w:rPr>
      <w:sz w:val="20"/>
      <w:szCs w:val="20"/>
    </w:rPr>
  </w:style>
  <w:style w:type="character" w:customStyle="1" w:styleId="FootnoteTextChar">
    <w:name w:val="Footnote Text Char"/>
    <w:basedOn w:val="DefaultParagraphFont"/>
    <w:link w:val="FootnoteText"/>
    <w:uiPriority w:val="99"/>
    <w:semiHidden/>
    <w:rsid w:val="006F0041"/>
    <w:rPr>
      <w:sz w:val="20"/>
      <w:szCs w:val="20"/>
      <w:lang w:val="en-US"/>
    </w:rPr>
  </w:style>
  <w:style w:type="character" w:styleId="FootnoteReference">
    <w:name w:val="footnote reference"/>
    <w:basedOn w:val="DefaultParagraphFont"/>
    <w:uiPriority w:val="99"/>
    <w:semiHidden/>
    <w:unhideWhenUsed/>
    <w:rsid w:val="006F0041"/>
    <w:rPr>
      <w:vertAlign w:val="superscript"/>
    </w:rPr>
  </w:style>
  <w:style w:type="character" w:styleId="Hyperlink">
    <w:name w:val="Hyperlink"/>
    <w:basedOn w:val="DefaultParagraphFont"/>
    <w:uiPriority w:val="99"/>
    <w:unhideWhenUsed/>
    <w:rsid w:val="007D4B43"/>
    <w:rPr>
      <w:color w:val="0563C1" w:themeColor="hyperlink"/>
      <w:u w:val="single"/>
    </w:rPr>
  </w:style>
  <w:style w:type="character" w:styleId="UnresolvedMention">
    <w:name w:val="Unresolved Mention"/>
    <w:basedOn w:val="DefaultParagraphFont"/>
    <w:uiPriority w:val="99"/>
    <w:semiHidden/>
    <w:unhideWhenUsed/>
    <w:rsid w:val="007D4B43"/>
    <w:rPr>
      <w:color w:val="605E5C"/>
      <w:shd w:val="clear" w:color="auto" w:fill="E1DFDD"/>
    </w:rPr>
  </w:style>
  <w:style w:type="paragraph" w:styleId="NormalWeb">
    <w:name w:val="Normal (Web)"/>
    <w:basedOn w:val="Normal"/>
    <w:uiPriority w:val="99"/>
    <w:semiHidden/>
    <w:unhideWhenUsed/>
    <w:rsid w:val="00610583"/>
    <w:rPr>
      <w:rFonts w:ascii="Times New Roman" w:hAnsi="Times New Roman" w:cs="Times New Roman"/>
    </w:rPr>
  </w:style>
  <w:style w:type="paragraph" w:styleId="Revision">
    <w:name w:val="Revision"/>
    <w:hidden/>
    <w:uiPriority w:val="99"/>
    <w:semiHidden/>
    <w:rsid w:val="00D8224C"/>
    <w:pPr>
      <w:spacing w:after="0" w:line="240" w:lineRule="auto"/>
    </w:pPr>
    <w:rPr>
      <w:sz w:val="24"/>
      <w:szCs w:val="24"/>
      <w:lang w:val="en-US"/>
    </w:rPr>
  </w:style>
  <w:style w:type="character" w:styleId="CommentReference">
    <w:name w:val="annotation reference"/>
    <w:basedOn w:val="DefaultParagraphFont"/>
    <w:uiPriority w:val="99"/>
    <w:semiHidden/>
    <w:unhideWhenUsed/>
    <w:rsid w:val="0012785A"/>
    <w:rPr>
      <w:sz w:val="16"/>
      <w:szCs w:val="16"/>
    </w:rPr>
  </w:style>
  <w:style w:type="paragraph" w:styleId="CommentText">
    <w:name w:val="annotation text"/>
    <w:basedOn w:val="Normal"/>
    <w:link w:val="CommentTextChar"/>
    <w:uiPriority w:val="99"/>
    <w:semiHidden/>
    <w:unhideWhenUsed/>
    <w:rsid w:val="0012785A"/>
    <w:rPr>
      <w:sz w:val="20"/>
      <w:szCs w:val="20"/>
    </w:rPr>
  </w:style>
  <w:style w:type="character" w:customStyle="1" w:styleId="CommentTextChar">
    <w:name w:val="Comment Text Char"/>
    <w:basedOn w:val="DefaultParagraphFont"/>
    <w:link w:val="CommentText"/>
    <w:uiPriority w:val="99"/>
    <w:semiHidden/>
    <w:rsid w:val="0012785A"/>
    <w:rPr>
      <w:sz w:val="20"/>
      <w:szCs w:val="20"/>
      <w:lang w:val="en-US"/>
    </w:rPr>
  </w:style>
  <w:style w:type="paragraph" w:styleId="CommentSubject">
    <w:name w:val="annotation subject"/>
    <w:basedOn w:val="CommentText"/>
    <w:next w:val="CommentText"/>
    <w:link w:val="CommentSubjectChar"/>
    <w:uiPriority w:val="99"/>
    <w:semiHidden/>
    <w:unhideWhenUsed/>
    <w:rsid w:val="0012785A"/>
    <w:rPr>
      <w:b/>
      <w:bCs/>
    </w:rPr>
  </w:style>
  <w:style w:type="character" w:customStyle="1" w:styleId="CommentSubjectChar">
    <w:name w:val="Comment Subject Char"/>
    <w:basedOn w:val="CommentTextChar"/>
    <w:link w:val="CommentSubject"/>
    <w:uiPriority w:val="99"/>
    <w:semiHidden/>
    <w:rsid w:val="0012785A"/>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parlament.gov.rs/Na_Devetom_javnom_slu%C5%A1anju_predstavljen_nacrt_zakona_o_izmenama_i_dopunama_Zakona_o_jedinstvenom_bira%C4%8Dkom_spisku.51543.941.html" TargetMode="External"/><Relationship Id="rId13" Type="http://schemas.openxmlformats.org/officeDocument/2006/relationships/hyperlink" Target="https://odihr.osce.org/sites/default/files/f/documents/7/e/535266.pdf" TargetMode="External"/><Relationship Id="rId3" Type="http://schemas.openxmlformats.org/officeDocument/2006/relationships/hyperlink" Target="https://www.parlament.gov.rs/upload/documents/dokumenta/Informacija%20predsedavajuceg%20o%20radu%20Radne%20grupe%2021.05.2024.pdf" TargetMode="External"/><Relationship Id="rId7" Type="http://schemas.openxmlformats.org/officeDocument/2006/relationships/hyperlink" Target="https://www.parlament.gov.rs/narodna-skupstina-/sastav/radna-tela.5033.html" TargetMode="External"/><Relationship Id="rId12" Type="http://schemas.openxmlformats.org/officeDocument/2006/relationships/hyperlink" Target="https://www.osce.org/odihr/elections/serbia" TargetMode="External"/><Relationship Id="rId2" Type="http://schemas.openxmlformats.org/officeDocument/2006/relationships/hyperlink" Target="https://www.parlament.gov.rs/upload/documents/dokumenta/Informacija%20o%20radu%20Radne%20grupe%20za%20unapredjenje%20izbornog%20procesa%20u%20periodu%20od%2031.%20maja%20do%202.%20oktobra%202024.%20godine.pdf" TargetMode="External"/><Relationship Id="rId1" Type="http://schemas.openxmlformats.org/officeDocument/2006/relationships/hyperlink" Target="https://www.parlament.gov.rs/narodna-skupstina-/sastav/radna-tela/radne-grupe.4457.html" TargetMode="External"/><Relationship Id="rId6" Type="http://schemas.openxmlformats.org/officeDocument/2006/relationships/hyperlink" Target="https://www.parlament.gov.rs/narodna-skupstina-/sastav/radna-tela.5001.html" TargetMode="External"/><Relationship Id="rId11" Type="http://schemas.openxmlformats.org/officeDocument/2006/relationships/hyperlink" Target="http://www.parlament.gov.rs/upload/archive/files/lat/pdf/predlozi_zakona/14_saziv/2147-25%20-%20Lat..pdf" TargetMode="External"/><Relationship Id="rId5" Type="http://schemas.openxmlformats.org/officeDocument/2006/relationships/hyperlink" Target="https://www.parlament.gov.rs/upload/documents/dokumenta/Informacija%20o%20radu%20Radne%20grupe%20za%20unapredjenje%20izbornog%20procesa%20u%20periodu%20od%2031.%20maja%20do%202.%20oktobra%202024.%20godine.pdf" TargetMode="External"/><Relationship Id="rId10" Type="http://schemas.openxmlformats.org/officeDocument/2006/relationships/hyperlink" Target="https://odihr.osce.org/odihr/662623" TargetMode="External"/><Relationship Id="rId4" Type="http://schemas.openxmlformats.org/officeDocument/2006/relationships/hyperlink" Target="https://www.parlament.gov.rs/upload/documents/dokumenta/Informacija%20o%20radu%20Radne%20grupe%20za%20unapredjenje%20izbornog%20procesa%20u%20periodu%20od%2011.%20oktobra%20do%2031.%20januara%202025.%20godine.pdf" TargetMode="External"/><Relationship Id="rId9" Type="http://schemas.openxmlformats.org/officeDocument/2006/relationships/hyperlink" Target="https://www.parlament.gov.rs/narodna-skupstina-/sastav/radna-tela.503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BE4CC-A366-4992-972C-581B2C2AD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6</Pages>
  <Words>1969</Words>
  <Characters>11107</Characters>
  <Application>Microsoft Office Word</Application>
  <DocSecurity>0</DocSecurity>
  <Lines>258</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Misa</dc:creator>
  <cp:keywords/>
  <dc:description/>
  <cp:lastModifiedBy>Milena Mihajlovic Denic</cp:lastModifiedBy>
  <cp:revision>24</cp:revision>
  <dcterms:created xsi:type="dcterms:W3CDTF">2026-03-27T08:53:00Z</dcterms:created>
  <dcterms:modified xsi:type="dcterms:W3CDTF">2026-04-24T18:46:00Z</dcterms:modified>
</cp:coreProperties>
</file>